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 w:val="0"/>
          <w:i/>
          <w:color w:val="595959"/>
          <w:sz w:val="22"/>
        </w:rPr>
        <w:t>Grupo DISAL · Integración del personal de nuevo ingreso · Para validación de Dirección General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1. OBJETIVO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>Estandarizar la integración de cada persona que ingresa a Grupo DISAL, desde la preparación previa al ingreso hasta el cierre del periodo de prueba de 30 días. El procedimiento define responsables, calendario y evidencia firmada para la inducción general y para la inducción operativa al puesto. Una inducción completa reduce la curva de adaptación y ataca la rotación temprana concentrada en los puestos de reparto.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2. ALCANCE</w:t>
      </w:r>
    </w:p>
    <w:p>
      <w:pPr>
        <w:spacing w:after="120"/>
      </w:pPr>
      <w:r>
        <w:rPr>
          <w:rFonts w:ascii="Calibri" w:hAnsi="Calibri"/>
          <w:b w:val="0"/>
          <w:i w:val="0"/>
          <w:color w:val="1C242E"/>
          <w:sz w:val="21"/>
        </w:rPr>
        <w:t xml:space="preserve">Aplica a todo el personal de nuevo ingreso de Grupo DISAL, en la matriz de Chihuahua y en la sucursal Hermosillo, y a los colaboradores que cambian de puesto. Inicia con la confirmación de la contratación conforme al procedimiento de Contratación (PRO-RH-03) y termina con el archivo en el expediente de personal del calendario de inducción firmado y de la </w:t>
      </w:r>
      <w:r>
        <w:rPr>
          <w:rFonts w:ascii="Calibri" w:hAnsi="Calibri"/>
          <w:b/>
          <w:i w:val="0"/>
          <w:color w:val="1C242E"/>
          <w:sz w:val="21"/>
        </w:rPr>
        <w:t>Evaluación de Fin de Periodo de Prueba (FOR-RH-10)</w:t>
      </w:r>
      <w:r>
        <w:rPr>
          <w:rFonts w:ascii="Calibri" w:hAnsi="Calibri"/>
          <w:b w:val="0"/>
          <w:i w:val="0"/>
          <w:color w:val="1C242E"/>
          <w:sz w:val="21"/>
        </w:rPr>
        <w:t>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3. POLÍTICAS Y LINEAMIENTOS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1.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Sin inducción no hay operación. </w:t>
      </w:r>
      <w:r>
        <w:rPr>
          <w:rFonts w:ascii="Calibri" w:hAnsi="Calibri"/>
          <w:b w:val="0"/>
          <w:i w:val="0"/>
          <w:color w:val="1C242E"/>
          <w:sz w:val="20"/>
        </w:rPr>
        <w:t>Ningún colaborador inicia actividades operativas sin la inducción de seguridad de su sede y la inducción operativa de su puesto, impartidas por el Jefe Directo.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2.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Responsables definidos.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es la responsable general del proceso de inducción. El Jefe Directo es el responsable operativo de la inducción al puesto y del seguimiento semanal durante el periodo de prueba.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3.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Material oficial único. </w:t>
      </w:r>
      <w:r>
        <w:rPr>
          <w:rFonts w:ascii="Calibri" w:hAnsi="Calibri"/>
          <w:b w:val="0"/>
          <w:i w:val="0"/>
          <w:color w:val="1C242E"/>
          <w:sz w:val="20"/>
        </w:rPr>
        <w:t>El material de inducción son las cinco presentaciones institucionales de DISAL: Bienvenida, Tu llegada a DISAL, Información General de la Empresa, Comunicación en DISAL y Cómo tener éxito en DISAL (REF-RH-03). Todo cambio de fondo a este material requiere autorización de la Dirección General.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4.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Inducción general el día 1. </w:t>
      </w:r>
      <w:r>
        <w:rPr>
          <w:rFonts w:ascii="Calibri" w:hAnsi="Calibri"/>
          <w:b w:val="0"/>
          <w:i w:val="0"/>
          <w:color w:val="1C242E"/>
          <w:sz w:val="20"/>
        </w:rPr>
        <w:t>La inducción general se imparte completa el primer día de trabajo. Las actividades restantes del calendario de inducción (FOR-RH-09) se concluyen dentro del periodo de prueba de 30 días naturales que establece el contrato individual.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5.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Evidencia firmada o no concluida. </w:t>
      </w:r>
      <w:r>
        <w:rPr>
          <w:rFonts w:ascii="Calibri" w:hAnsi="Calibri"/>
          <w:b w:val="0"/>
          <w:i w:val="0"/>
          <w:color w:val="1C242E"/>
          <w:sz w:val="20"/>
        </w:rPr>
        <w:t>Toda actividad de inducción deja firma en el calendario de inducción (FOR-RH-09). El calendario con firmas completas se archiva en el expediente conforme a la lista de verificación de expediente (FOR-RH-06); sin evidencia firmada, la inducción se considera no concluida.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6.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Cierre vinculado a la evaluación.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agenda la Evaluación de Fin de Periodo de Prueba (FOR-RH-10) antes del vencimiento del contrato de 30 días. Ningún cierre de inducción se registra sin esa evaluación aplicada.</w:t>
      </w:r>
    </w:p>
    <w:p>
      <w:pPr>
        <w:tabs>
          <w:tab w:pos="340" w:val="left"/>
        </w:tabs>
        <w:spacing w:after="100"/>
        <w:ind w:left="340" w:hanging="340"/>
      </w:pPr>
      <w:r>
        <w:rPr>
          <w:rFonts w:ascii="Calibri" w:hAnsi="Calibri"/>
          <w:b/>
          <w:i w:val="0"/>
          <w:color w:val="C9641D"/>
          <w:sz w:val="20"/>
        </w:rPr>
        <w:t>7.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Misma inducción en Hermosillo. </w:t>
      </w:r>
      <w:r>
        <w:rPr>
          <w:rFonts w:ascii="Calibri" w:hAnsi="Calibri"/>
          <w:b w:val="0"/>
          <w:i w:val="0"/>
          <w:color w:val="1C242E"/>
          <w:sz w:val="20"/>
        </w:rPr>
        <w:t>El personal de la sucursal Hermosillo recibe la misma inducción que el de la matriz. La Jefatura Administrativa Hermosillo coordina la logística local con el mismo material oficial (REF-RH-03) y el mismo calendario (FOR-RH-09), y la responsabilidad general permanece en la Coordinación de Recursos Humanos.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4. DEFINICIONES Y ABREVIATURAS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Definición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Inducción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Capacitación inicial que recibe el colaborador al ingresar a Grupo DISAL o al cambiar de puesto; se compone de una inducción general y una inducción operativa al puesto.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Inducción general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Sesión que la Coordinación de Recursos Humanos imparte el primer día de trabajo con el material oficial de inducción.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Inducción operativa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Entrenamiento que el Jefe Directo imparte sobre las funciones, entregables, herramientas y medidas de seguridad del puesto.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Material oficial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Las cinco presentaciones institucionales de DISAL: Bienvenida, Tu llegada a DISAL, Información General de la Empresa, Comunicación en DISAL y Cómo tener éxito en DISAL (REF-RH-03).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Matriz y calendario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Documento que define los temas de inducción que corresponden a cada puesto y registra fechas, instructores y firmas de cada colaborador (FOR-RH-09).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Instructor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Colaborador o jefatura asignada en el calendario de inducción para impartir un tema y firmar la constancia correspondiente.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Periodo de prueba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Plazo de 30 días naturales establecido en el contrato individual por tiempo determinado, durante el cual se completa la inducción y el seguimiento semanal.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Evaluación de inducción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Cuestionario breve que el colaborador responde al cierre del programa para registrar sus observaciones sobre el proceso de inducción (FOR-RH-91).</w:t>
            </w:r>
          </w:p>
        </w:tc>
      </w:tr>
      <w:tr>
        <w:trPr>
          <w:cantSplit w:val="true"/>
        </w:trP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Evaluación fin de prueba</w:t>
            </w:r>
          </w:p>
        </w:tc>
        <w:tc>
          <w:tcPr>
            <w:tcW w:type="dxa" w:w="734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Evaluación de desempeño que el Jefe Directo aplica al cierre del periodo de prueba de 30 días para decidir la continuidad del colaborador (FOR-RH-10).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5. RESPONSABILIDADES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2856"/>
        <w:gridCol w:w="7344"/>
      </w:tblGrid>
      <w:tr>
        <w:trPr>
          <w:tblHeader w:val="true"/>
        </w:trPr>
        <w:tc>
          <w:tcPr>
            <w:tcW w:type="dxa" w:w="285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Responsable</w:t>
            </w:r>
          </w:p>
        </w:tc>
        <w:tc>
          <w:tcPr>
            <w:tcW w:type="dxa" w:w="734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Dirección General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Autorizar los cambios de fondo al material oficial de inducción (REF-RH-03) y a la Matriz y Calendario de Inducción (FOR-RH-09)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Recibir el reporte de cierre de cada inducción junto con el resultado de la Evaluación de Fin de Periodo de Prueba (FOR-RH-10)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Coordinación de Recursos Humanos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Planear el calendario de inducción de cada ingreso e impartir la inducción general con el material oficial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Verificar el avance semanal del calendario y reprogramar los temas pendientes dentro del periodo de prueba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 evaluación de inducción y archivar la evidencia firmada en el expediente de personal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Jefe Directo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Impartir la inducción de seguridad y la inducción operativa del puesto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Presentar al colaborador con su equipo y sostener la retroalimentación semanal durante el periodo de prueba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Aplicar la Evaluación de Fin de Periodo de Prueba (FOR-RH-10)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Jefatura Administrativa Hermosillo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Coordinar la logística local de la inducción del personal de la sucursal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Reportar el avance del calendario a la Coordinación de Recursos Humanos</w:t>
            </w:r>
          </w:p>
        </w:tc>
      </w:tr>
      <w:tr>
        <w:tc>
          <w:tcPr>
            <w:tcW w:type="dxa" w:w="2856"/>
          </w:tcPr>
          <w:p>
            <w:pPr>
              <w:spacing w:after="0"/>
            </w:pPr>
            <w:r/>
            <w:r>
              <w:rPr>
                <w:rFonts w:ascii="Calibri" w:hAnsi="Calibri"/>
                <w:b/>
                <w:i w:val="0"/>
                <w:color w:val="000000"/>
                <w:sz w:val="19"/>
              </w:rPr>
              <w:t>Colaborador</w:t>
            </w:r>
          </w:p>
        </w:tc>
        <w:tc>
          <w:tcPr>
            <w:tcW w:type="dxa" w:w="7344"/>
          </w:tcPr>
          <w:p>
            <w:pPr>
              <w:pStyle w:val="ListBullet"/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Asistir a las actividades programadas en su calendario de inducción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Recabar las firmas de los instructores y entregar el calendario concluido</w:t>
            </w:r>
          </w:p>
          <w:p>
            <w:pPr>
              <w:pStyle w:val="ListBullet"/>
              <w:spacing w:after="20"/>
            </w:pP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Responder la evaluación de inducción al cierre del programa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6. PROPIEDAD Y APROBACIÓN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264"/>
        <w:gridCol w:w="6936"/>
      </w:tblGrid>
      <w:tr>
        <w:trPr>
          <w:tblHeader w:val="true"/>
        </w:trPr>
        <w:tc>
          <w:tcPr>
            <w:tcW w:type="dxa" w:w="3264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Concepto</w:t>
            </w:r>
          </w:p>
        </w:tc>
        <w:tc>
          <w:tcPr>
            <w:tcW w:type="dxa" w:w="69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Detalle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Propietario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Coordinación de Recursos Humanos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Aprobado por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Dirección General · Grupo DISAL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Elaboró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  <w:tr>
        <w:trPr>
          <w:cantSplit w:val="true"/>
        </w:trPr>
        <w:tc>
          <w:tcPr>
            <w:tcW w:type="dxa" w:w="3264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Revisión</w:t>
            </w:r>
          </w:p>
        </w:tc>
        <w:tc>
          <w:tcPr>
            <w:tcW w:type="dxa" w:w="69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Anual o ante cambio significativo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b w:val="0"/>
          <w:i w:val="0"/>
          <w:color w:val="1C242E"/>
          <w:sz w:val="20"/>
        </w:rPr>
        <w:t>El procedimiento se organiza en seis fases, de la planeación previa al ingreso al cierre de los 30 días. Cada paso identifica al responsable y el formato que genera evidencia.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7.1 </w:t>
      </w:r>
      <w:r>
        <w:rPr>
          <w:rFonts w:ascii="Calibri" w:hAnsi="Calibri"/>
          <w:b/>
          <w:i w:val="0"/>
          <w:color w:val="000000"/>
          <w:sz w:val="21"/>
        </w:rPr>
        <w:t>Planeación de la inducción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Consulta de la matriz.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consulta la Matriz y Calendario de Inducción (FOR-RH-09) al confirmarse una contratación e identifica los temas que corresponden al puesto.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Elaboración del calendario individual.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elabora el calendario de inducción del colaborador en el mismo formato (FOR-RH-09), con temas, fechas, sede e instructores asignados.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Notificación a los instructores.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notifica el calendario de inducción al Jefe Directo y a los instructores antes de la fecha de ingreso.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7.1.4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Confirmación de agenda operativa. </w:t>
      </w:r>
      <w:r>
        <w:rPr>
          <w:rFonts w:ascii="Calibri" w:hAnsi="Calibri"/>
          <w:b w:val="0"/>
          <w:i w:val="0"/>
          <w:color w:val="1C242E"/>
          <w:sz w:val="20"/>
        </w:rPr>
        <w:t>El Jefe Directo confirma a la Coordinación de Recursos Humanos la agenda de la inducción operativa del puesto.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7.2 </w:t>
      </w:r>
      <w:r>
        <w:rPr>
          <w:rFonts w:ascii="Calibri" w:hAnsi="Calibri"/>
          <w:b/>
          <w:i w:val="0"/>
          <w:color w:val="000000"/>
          <w:sz w:val="21"/>
        </w:rPr>
        <w:t>Preparación previa al ingreso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Verificación de expediente y alta.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antes del ingreso que el expediente esté completo conforme a la lista de verificación de expediente (FOR-RH-06) y que el alta ante el IMSS quede programada para el mismo día de inicio, según el procedimiento de Contratación (PRO-RH-03).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Uniforme y equipo con responsiva.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verifica la entrega de uniforme, herramientas y equipo de trabajo contra responsiva firmada (FOR-RH-21), tal como lo declara la presentación Tu llegada a DISAL.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Gestión de accesos.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gestiona el alta del colaborador en el checador digital, el usuario del ERP cuando el puesto lo requiera y el canal de comunicación interna.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Comunicado de nuevo ingreso.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comunica al personal el nuevo ingreso, con puesto, sede y fecha de incorporación.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7.2.5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Preparación del lugar de trabajo. </w:t>
      </w:r>
      <w:r>
        <w:rPr>
          <w:rFonts w:ascii="Calibri" w:hAnsi="Calibri"/>
          <w:b w:val="0"/>
          <w:i w:val="0"/>
          <w:color w:val="1C242E"/>
          <w:sz w:val="20"/>
        </w:rPr>
        <w:t>El Jefe Directo prepara el lugar de trabajo y el plan de actividades de la primera semana del colaborador.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7.3 </w:t>
      </w:r>
      <w:r>
        <w:rPr>
          <w:rFonts w:ascii="Calibri" w:hAnsi="Calibri"/>
          <w:b/>
          <w:i w:val="0"/>
          <w:color w:val="000000"/>
          <w:sz w:val="21"/>
        </w:rPr>
        <w:t>Día 1: bienvenida e inducción general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Recepción del colaborador.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recibe al colaborador a las 8:00 horas en su sede de adscripción.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en el checador.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explica el uso obligatorio del checador digital y su política de retardos.</w:t>
      </w:r>
    </w:p>
    <w:p>
      <w:pPr>
        <w:keepNext/>
        <w:spacing w:after="2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Regla: </w:t>
      </w:r>
      <w:r>
        <w:rPr>
          <w:rFonts w:ascii="Calibri" w:hAnsi="Calibri"/>
          <w:b w:val="0"/>
          <w:i w:val="0"/>
          <w:color w:val="595959"/>
          <w:sz w:val="18"/>
        </w:rPr>
        <w:t>entrada a las 8:00; desde las 8:01 cuenta como retardo, con tolerancia de 10 minutos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Límite: </w:t>
      </w:r>
      <w:r>
        <w:rPr>
          <w:rFonts w:ascii="Calibri" w:hAnsi="Calibri"/>
          <w:b w:val="0"/>
          <w:i w:val="0"/>
          <w:color w:val="595959"/>
          <w:sz w:val="18"/>
        </w:rPr>
        <w:t>máximo 3 retardos al mes; el cuarto se contabiliza como falta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Inducción general con presentaciones.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imparte la inducción general con el material oficial (REF-RH-03), en este orden: Bienvenida, Tu llegada a DISAL, Información General de la Empresa, Comunicación en DISAL y Cómo tener éxito en DISAL.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de formatos cotidianos.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entrega los formatos de uso cotidiano con su explicación de llenado: solicitud de permiso (FOR-RH-11) y solicitud de vacaciones (FOR-RH-12).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Recorrido por instalaciones.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realiza el recorrido por las instalaciones y presenta al colaborador ante el personal presente.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Presentación con el equipo. </w:t>
      </w:r>
      <w:r>
        <w:rPr>
          <w:rFonts w:ascii="Calibri" w:hAnsi="Calibri"/>
          <w:b w:val="0"/>
          <w:i w:val="0"/>
          <w:color w:val="1C242E"/>
          <w:sz w:val="20"/>
        </w:rPr>
        <w:t>El Jefe Directo presenta al colaborador con su equipo de trabajo directo.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7.3.7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Explicación del puesto. </w:t>
      </w:r>
      <w:r>
        <w:rPr>
          <w:rFonts w:ascii="Calibri" w:hAnsi="Calibri"/>
          <w:b w:val="0"/>
          <w:i w:val="0"/>
          <w:color w:val="1C242E"/>
          <w:sz w:val="20"/>
        </w:rPr>
        <w:t>El Jefe Directo explica el objetivo del puesto y sus funciones conforme al perfil de puesto vigente elaborado con la plantilla DETA (FOR-RH-22).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7.3.8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de constancia. </w:t>
      </w:r>
      <w:r>
        <w:rPr>
          <w:rFonts w:ascii="Calibri" w:hAnsi="Calibri"/>
          <w:b w:val="0"/>
          <w:i w:val="0"/>
          <w:color w:val="1C242E"/>
          <w:sz w:val="20"/>
        </w:rPr>
        <w:t>El Colaborador firma en el calendario de inducción (FOR-RH-09) la constancia de la inducción general recibida.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7.4 </w:t>
      </w:r>
      <w:r>
        <w:rPr>
          <w:rFonts w:ascii="Calibri" w:hAnsi="Calibri"/>
          <w:b/>
          <w:i w:val="0"/>
          <w:color w:val="000000"/>
          <w:sz w:val="21"/>
        </w:rPr>
        <w:t>Inducción operativa al puesto</w:t>
      </w:r>
    </w:p>
    <w:p>
      <w:pPr>
        <w:keepNext/>
        <w:tabs>
          <w:tab w:pos="907" w:val="left"/>
        </w:tabs>
        <w:spacing w:after="4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Inducción de seguridad. </w:t>
      </w:r>
      <w:r>
        <w:rPr>
          <w:rFonts w:ascii="Calibri" w:hAnsi="Calibri"/>
          <w:b w:val="0"/>
          <w:i w:val="0"/>
          <w:color w:val="1C242E"/>
          <w:sz w:val="20"/>
        </w:rPr>
        <w:t>El Jefe Directo imparte la inducción de seguridad de la sede antes de cualquier actividad operativa.</w:t>
      </w:r>
    </w:p>
    <w:p>
      <w:pPr>
        <w:spacing w:after="100"/>
        <w:ind w:left="907"/>
      </w:pPr>
      <w:r>
        <w:rPr>
          <w:rFonts w:ascii="Calibri" w:hAnsi="Calibri"/>
          <w:b/>
          <w:i w:val="0"/>
          <w:color w:val="C9641D"/>
          <w:sz w:val="18"/>
        </w:rPr>
        <w:t xml:space="preserve">Cubre: </w:t>
      </w:r>
      <w:r>
        <w:rPr>
          <w:rFonts w:ascii="Calibri" w:hAnsi="Calibri"/>
          <w:b w:val="0"/>
          <w:i w:val="0"/>
          <w:color w:val="595959"/>
          <w:sz w:val="18"/>
        </w:rPr>
        <w:t>ubicación del botiquín, rutas de evacuación y procedimiento de reporte de incidentes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Entrenamiento en funciones. </w:t>
      </w:r>
      <w:r>
        <w:rPr>
          <w:rFonts w:ascii="Calibri" w:hAnsi="Calibri"/>
          <w:b w:val="0"/>
          <w:i w:val="0"/>
          <w:color w:val="1C242E"/>
          <w:sz w:val="20"/>
        </w:rPr>
        <w:t>El Jefe Directo imparte la inducción operativa conforme al perfil de puesto: funciones, entregables, indicadores y herramientas de trabajo.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Módulo de reparto. </w:t>
      </w:r>
      <w:r>
        <w:rPr>
          <w:rFonts w:ascii="Calibri" w:hAnsi="Calibri"/>
          <w:b w:val="0"/>
          <w:i w:val="0"/>
          <w:color w:val="1C242E"/>
          <w:sz w:val="20"/>
        </w:rPr>
        <w:t>El Jefe Directo incluye en los puestos de reparto la revisión de la unidad, las rutas asignadas y el registro en el ERP de las remisiones y del informe de anomalías en entrega.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Logística en Hermosillo. </w:t>
      </w:r>
      <w:r>
        <w:rPr>
          <w:rFonts w:ascii="Calibri" w:hAnsi="Calibri"/>
          <w:b w:val="0"/>
          <w:i w:val="0"/>
          <w:color w:val="1C242E"/>
          <w:sz w:val="20"/>
        </w:rPr>
        <w:t>La Jefatura Administrativa Hermosillo coordina la logística local de la inducción del personal de la sucursal conforme al calendario autorizado (FOR-RH-09).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7.4.5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Firma por tema. </w:t>
      </w:r>
      <w:r>
        <w:rPr>
          <w:rFonts w:ascii="Calibri" w:hAnsi="Calibri"/>
          <w:b w:val="0"/>
          <w:i w:val="0"/>
          <w:color w:val="1C242E"/>
          <w:sz w:val="20"/>
        </w:rPr>
        <w:t>El Colaborador recaba la firma del instructor en el calendario de inducción (FOR-RH-09) al concluir cada tema.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7.5 </w:t>
      </w:r>
      <w:r>
        <w:rPr>
          <w:rFonts w:ascii="Calibri" w:hAnsi="Calibri"/>
          <w:b/>
          <w:i w:val="0"/>
          <w:color w:val="000000"/>
          <w:sz w:val="21"/>
        </w:rPr>
        <w:t>Seguimiento durante el periodo de prueba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Sesión semanal de retroalimentación. </w:t>
      </w:r>
      <w:r>
        <w:rPr>
          <w:rFonts w:ascii="Calibri" w:hAnsi="Calibri"/>
          <w:b w:val="0"/>
          <w:i w:val="0"/>
          <w:color w:val="1C242E"/>
          <w:sz w:val="20"/>
        </w:rPr>
        <w:t>El Jefe Directo sostiene una sesión de retroalimentación semanal con el colaborador durante el periodo de prueba de 30 días.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Registro de acuerdos. </w:t>
      </w:r>
      <w:r>
        <w:rPr>
          <w:rFonts w:ascii="Calibri" w:hAnsi="Calibri"/>
          <w:b w:val="0"/>
          <w:i w:val="0"/>
          <w:color w:val="1C242E"/>
          <w:sz w:val="20"/>
        </w:rPr>
        <w:t>El Jefe Directo registra los acuerdos de cada sesión en el calendario de inducción (FOR-RH-09).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Revisión semanal de avance.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revisa cada semana el avance del calendario de inducción del colaborador.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7.5.4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Reprogramación de pendientes.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reprograma dentro del periodo de prueba los temas no impartidos en su fecha original.</w:t>
      </w:r>
    </w:p>
    <w:p>
      <w:pPr>
        <w:keepNext/>
        <w:spacing w:before="200" w:after="80"/>
        <w:outlineLvl w:val="1"/>
      </w:pPr>
      <w:r>
        <w:rPr>
          <w:rFonts w:ascii="Calibri" w:hAnsi="Calibri"/>
          <w:b/>
          <w:i w:val="0"/>
          <w:color w:val="C9641D"/>
          <w:sz w:val="21"/>
        </w:rPr>
        <w:t xml:space="preserve">7.6 </w:t>
      </w:r>
      <w:r>
        <w:rPr>
          <w:rFonts w:ascii="Calibri" w:hAnsi="Calibri"/>
          <w:b/>
          <w:i w:val="0"/>
          <w:color w:val="000000"/>
          <w:sz w:val="21"/>
        </w:rPr>
        <w:t>Evaluación y cierre a los 30 días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7.6.1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Entrega del calendario firmado. </w:t>
      </w:r>
      <w:r>
        <w:rPr>
          <w:rFonts w:ascii="Calibri" w:hAnsi="Calibri"/>
          <w:b w:val="0"/>
          <w:i w:val="0"/>
          <w:color w:val="1C242E"/>
          <w:sz w:val="20"/>
        </w:rPr>
        <w:t>El Colaborador entrega a la Coordinación de Recursos Humanos el calendario de inducción (FOR-RH-09) con las firmas completas al concluir el programa.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7.6.2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Evaluación de inducción.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aplica al colaborador la evaluación de inducción (FOR-RH-91) y registra sus observaciones sobre el proceso.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7.6.3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Agenda de evaluación final.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agenda con el Jefe Directo la Evaluación de Fin de Periodo de Prueba (FOR-RH-10) antes del vencimiento del contrato de 30 días.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7.6.4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Aplicación de la evaluación. </w:t>
      </w:r>
      <w:r>
        <w:rPr>
          <w:rFonts w:ascii="Calibri" w:hAnsi="Calibri"/>
          <w:b w:val="0"/>
          <w:i w:val="0"/>
          <w:color w:val="1C242E"/>
          <w:sz w:val="20"/>
        </w:rPr>
        <w:t>El Jefe Directo aplica la Evaluación de Fin de Periodo de Prueba (FOR-RH-10) conforme al procedimiento de Contratación (PRO-RH-03) y entrega el resultado a la Coordinación de Recursos Humanos.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7.6.5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Archivo de evidencia.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archiva en el expediente el calendario firmado, la evaluación de inducción y la Evaluación de Fin de Periodo de Prueba, conforme a la lista de verificación de expediente (FOR-RH-06).</w:t>
      </w:r>
    </w:p>
    <w:p>
      <w:pPr>
        <w:tabs>
          <w:tab w:pos="907" w:val="left"/>
        </w:tabs>
        <w:spacing w:after="100"/>
        <w:ind w:left="907" w:hanging="680"/>
      </w:pPr>
      <w:r>
        <w:rPr>
          <w:rFonts w:ascii="Calibri" w:hAnsi="Calibri"/>
          <w:b/>
          <w:i w:val="0"/>
          <w:color w:val="C9641D"/>
          <w:sz w:val="20"/>
        </w:rPr>
        <w:t>7.6.6</w:t>
        <w:tab/>
      </w:r>
      <w:r>
        <w:rPr>
          <w:rFonts w:ascii="Calibri" w:hAnsi="Calibri"/>
          <w:b/>
          <w:i w:val="0"/>
          <w:color w:val="000000"/>
          <w:sz w:val="20"/>
        </w:rPr>
        <w:t xml:space="preserve">Mejora de la matriz. </w:t>
      </w:r>
      <w:r>
        <w:rPr>
          <w:rFonts w:ascii="Calibri" w:hAnsi="Calibri"/>
          <w:b w:val="0"/>
          <w:i w:val="0"/>
          <w:color w:val="1C242E"/>
          <w:sz w:val="20"/>
        </w:rPr>
        <w:t>La Coordinación de Recursos Humanos actualiza la Matriz y Calendario de Inducción (FOR-RH-09) cuando las observaciones recibidas lo justifican y somete el cambio a autorización de la Dirección General.</w:t>
      </w:r>
    </w:p>
    <w:p>
      <w:pPr>
        <w:spacing w:after="0"/>
      </w:pPr>
      <w:r>
        <w:br w:type="page"/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8. DIAGRAMA DE FLUJO</w:t>
      </w:r>
    </w:p>
    <w:p>
      <w:pPr>
        <w:keepNext/>
        <w:spacing w:after="80"/>
        <w:jc w:val="center"/>
      </w:pPr>
      <w:r>
        <w:rPr>
          <w:rFonts w:ascii="Calibri" w:hAnsi="Calibri"/>
          <w:b/>
          <w:i w:val="0"/>
          <w:color w:val="000000"/>
          <w:sz w:val="22"/>
        </w:rPr>
        <w:t>Flujo de inducción del personal de nuevo ingreso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825542" cy="64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cci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25542" cy="64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Calibri" w:hAnsi="Calibri"/>
          <w:b w:val="0"/>
          <w:i/>
          <w:color w:val="595959"/>
          <w:sz w:val="17"/>
        </w:rPr>
        <w:t>Negro: Coordinación de Recursos Humanos. Naranja: Jefe Directo. Gris claro: Colaborador. Contorno punteado: formatos y material oficial. Fondo naranja claro: decisiones.</w:t>
      </w:r>
    </w:p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9. NOTA IMPORTANTE</w:t>
      </w:r>
    </w:p>
    <w:tbl>
      <w:tblPr>
        <w:tblW w:type="auto" w:w="0"/>
        <w:jc w:val="center"/>
        <w:tblBorders>
          <w:left w:val="single" w:sz="24" w:color="FB803A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firstColumn="1" w:firstRow="1" w:lastColumn="0" w:lastRow="0" w:noHBand="0" w:noVBand="1" w:val="04A0"/>
      </w:tblPr>
      <w:tblGrid>
        <w:gridCol w:w="10200"/>
      </w:tblGrid>
      <w:tr>
        <w:trPr>
          <w:cantSplit w:val="true"/>
        </w:trPr>
        <w:tc>
          <w:tcPr>
            <w:tcW w:type="dxa" w:w="10200"/>
            <w:shd w:val="clear" w:color="auto" w:fill="FFF1E8"/>
          </w:tcPr>
          <w:p>
            <w:pPr>
              <w:spacing w:before="60" w:after="60"/>
            </w:pPr>
            <w:r/>
            <w:r>
              <w:rPr>
                <w:rFonts w:ascii="Calibri" w:hAnsi="Calibri"/>
                <w:b/>
                <w:i w:val="0"/>
                <w:color w:val="C9641D"/>
                <w:sz w:val="19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Ningún colaborador de nuevo ingreso opera una unidad de reparto, equipo del almacén o sistema de la empresa sin haber recibido la inducción de seguridad de su sede y la inducción operativa de su puesto. La firma en el calendario de inducción (FOR-RH-09) es la única evidencia válida de cada tema impartido.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10. CONTROL DE CAMBIOS</w:t>
      </w: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1122"/>
        <w:gridCol w:w="1530"/>
        <w:gridCol w:w="5712"/>
        <w:gridCol w:w="1836"/>
      </w:tblGrid>
      <w:tr>
        <w:trPr>
          <w:tblHeader w:val="true"/>
        </w:trPr>
        <w:tc>
          <w:tcPr>
            <w:tcW w:type="dxa" w:w="112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Versión</w:t>
            </w:r>
          </w:p>
        </w:tc>
        <w:tc>
          <w:tcPr>
            <w:tcW w:type="dxa" w:w="1530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Descripción del cambio</w:t>
            </w:r>
          </w:p>
        </w:tc>
        <w:tc>
          <w:tcPr>
            <w:tcW w:type="dxa" w:w="1836"/>
            <w:shd w:val="clear" w:color="auto" w:fill="0000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</w:tr>
      <w:tr>
        <w:trPr>
          <w:cantSplit w:val="true"/>
        </w:trPr>
        <w:tc>
          <w:tcPr>
            <w:tcW w:type="dxa" w:w="112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1.0</w:t>
            </w:r>
          </w:p>
        </w:tc>
        <w:tc>
          <w:tcPr>
            <w:tcW w:type="dxa" w:w="1530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30 jul 2026</w:t>
            </w:r>
          </w:p>
        </w:tc>
        <w:tc>
          <w:tcPr>
            <w:tcW w:type="dxa" w:w="5712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Versión inicial. Fase 2 del proyecto de implementación organizacional.</w:t>
            </w:r>
          </w:p>
        </w:tc>
        <w:tc>
          <w:tcPr>
            <w:tcW w:type="dxa" w:w="1836"/>
          </w:tcPr>
          <w:p>
            <w:pPr>
              <w:spacing w:after="0"/>
            </w:pPr>
            <w:r/>
            <w:r>
              <w:rPr>
                <w:rFonts w:ascii="Calibri" w:hAnsi="Calibri"/>
                <w:b w:val="0"/>
                <w:i w:val="0"/>
                <w:color w:val="1C242E"/>
                <w:sz w:val="19"/>
              </w:rPr>
              <w:t>DETA Consultores</w:t>
            </w:r>
          </w:p>
        </w:tc>
      </w:tr>
    </w:tbl>
    <w:p>
      <w:pPr>
        <w:keepNext/>
        <w:pBdr>
          <w:bottom w:val="single" w:sz="8" w:space="1" w:color="FB803A"/>
        </w:pBdr>
        <w:spacing w:before="240" w:after="100"/>
        <w:outlineLvl w:val="0"/>
      </w:pPr>
      <w:r>
        <w:rPr>
          <w:rFonts w:ascii="Georgia" w:hAnsi="Georgia"/>
          <w:b/>
          <w:i w:val="0"/>
          <w:color w:val="000000"/>
          <w:sz w:val="22"/>
        </w:rPr>
        <w:t>11. CONTROL DE FIRMAS</w:t>
      </w:r>
    </w:p>
    <w:p>
      <w:pPr>
        <w:keepNext/>
        <w:spacing w:after="80"/>
      </w:pPr>
    </w:p>
    <w:tbl>
      <w:tblPr>
        <w:tblW w:type="auto" w:w="0"/>
        <w:jc w:val="center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cantSplit w:val="true"/>
        </w:trPr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Elaboró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Revisó</w:t>
            </w:r>
          </w:p>
        </w:tc>
        <w:tc>
          <w:tcPr>
            <w:tcW w:type="dxa" w:w="3400"/>
            <w:shd w:val="clear" w:color="auto" w:fill="000000"/>
          </w:tcPr>
          <w:p>
            <w:pPr>
              <w:keepNext/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Aprobó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  <w:tc>
          <w:tcPr>
            <w:tcW w:type="dxa" w:w="3400"/>
          </w:tcPr>
          <w:p>
            <w:pPr>
              <w:keepNext/>
              <w:spacing w:before="60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595959"/>
                <w:sz w:val="15"/>
              </w:rPr>
              <w:t>Firma y fecha</w:t>
            </w:r>
          </w:p>
        </w:tc>
      </w:tr>
      <w:tr>
        <w:trPr>
          <w:cantSplit w:val="true"/>
        </w:trPr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DETA Consultores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Coordinación de RH</w:t>
            </w:r>
          </w:p>
        </w:tc>
        <w:tc>
          <w:tcPr>
            <w:tcW w:type="dxa" w:w="3400"/>
          </w:tcPr>
          <w:p>
            <w:pPr>
              <w:spacing w:after="0"/>
              <w:jc w:val="center"/>
            </w:pPr>
            <w:r/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Dirección General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2891" w:right="1020" w:bottom="1020" w:left="1020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00" w:val="right"/>
      </w:tabs>
      <w:spacing w:after="0"/>
    </w:pPr>
    <w:r/>
    <w:r>
      <w:rPr>
        <w:rFonts w:ascii="Calibri" w:hAnsi="Calibri"/>
        <w:b w:val="0"/>
        <w:i w:val="0"/>
        <w:color w:val="595959"/>
        <w:sz w:val="15"/>
      </w:rPr>
      <w:t>Grupo DISAL | Procedimiento de Recursos Humanos | PRO-RH-04 V1.0</w:t>
    </w:r>
    <w:r>
      <w:tab/>
    </w:r>
    <w:r>
      <w:rPr>
        <w:rFonts w:ascii="Calibri" w:hAnsi="Calibri"/>
        <w:b w:val="0"/>
        <w:i w:val="0"/>
        <w:color w:val="595959"/>
        <w:sz w:val="15"/>
      </w:rPr>
      <w:t xml:space="preserve">Elaboró DETA Consultores | Página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PAGE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  <w:r>
      <w:rPr>
        <w:rFonts w:ascii="Calibri" w:hAnsi="Calibri"/>
        <w:b w:val="0"/>
        <w:i w:val="0"/>
        <w:color w:val="595959"/>
        <w:sz w:val="15"/>
      </w:rPr>
      <w:t xml:space="preserve"> de </w:t>
    </w:r>
    <w:r>
      <w:rPr>
        <w:rFonts w:ascii="Calibri" w:hAnsi="Calibri"/>
        <w:b w:val="0"/>
        <w:sz w:val="15"/>
      </w:rPr>
      <w:fldChar w:fldCharType="begin"/>
    </w:r>
    <w:r>
      <w:rPr>
        <w:rFonts w:ascii="Calibri" w:hAnsi="Calibri"/>
        <w:b w:val="0"/>
        <w:sz w:val="15"/>
      </w:rPr>
      <w:instrText xml:space="preserve"> NUMPAGES </w:instrText>
    </w:r>
    <w:r>
      <w:rPr>
        <w:rFonts w:ascii="Calibri" w:hAnsi="Calibri"/>
        <w:b w:val="0"/>
        <w:sz w:val="15"/>
      </w:rPr>
      <w:fldChar w:fldCharType="separate"/>
    </w:r>
    <w:r>
      <w:rPr>
        <w:rFonts w:ascii="Calibri" w:hAnsi="Calibri"/>
        <w:b w:val="0"/>
        <w:sz w:val="15"/>
      </w:rPr>
      <w:t>1</w:t>
    </w:r>
    <w:r>
      <w:rPr>
        <w:rFonts w:ascii="Calibri" w:hAnsi="Calibri"/>
        <w:b w:val="0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single" w:sz="6" w:color="000000"/>
        <w:left w:val="single" w:sz="6" w:color="000000"/>
        <w:bottom w:val="single" w:sz="6" w:color="000000"/>
        <w:right w:val="single" w:sz="6" w:color="000000"/>
        <w:insideH w:val="single" w:sz="6" w:color="000000"/>
        <w:insideV w:val="single" w:sz="6" w:color="000000"/>
      </w:tblBorders>
      <w:tblLayout w:type="fixed"/>
      <w:tblCellMar>
        <w:top w:w="40" w:type="dxa"/>
        <w:bottom w:w="40" w:type="dxa"/>
        <w:left w:w="80" w:type="dxa"/>
        <w:right w:w="80" w:type="dxa"/>
      </w:tblCellMar>
      <w:tblLook w:firstColumn="1" w:firstRow="1" w:lastColumn="0" w:lastRow="0" w:noHBand="0" w:noVBand="1" w:val="04A0"/>
    </w:tblPr>
    <w:tblGrid>
      <w:gridCol w:w="2244"/>
      <w:gridCol w:w="4080"/>
      <w:gridCol w:w="1938"/>
      <w:gridCol w:w="1938"/>
    </w:tblGrid>
    <w:tr>
      <w:tc>
        <w:tcPr>
          <w:tcW w:type="dxa" w:w="2244"/>
          <w:vMerge w:val="restart"/>
        </w:tcPr>
        <w:p>
          <w:pPr>
            <w:jc w:val="center"/>
          </w:pPr>
          <w:r/>
          <w:r>
            <w:drawing>
              <wp:inline xmlns:a="http://schemas.openxmlformats.org/drawingml/2006/main" xmlns:pic="http://schemas.openxmlformats.org/drawingml/2006/picture">
                <wp:extent cx="1188000" cy="49511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isal-logo-principa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49511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80"/>
          <w:vMerge w:val="restart"/>
          <w:shd w:val="clear" w:color="auto" w:fill="F2F2F2"/>
        </w:tcPr>
        <w:p>
          <w:pPr>
            <w:spacing w:after="0"/>
            <w:jc w:val="center"/>
          </w:pPr>
          <w:r/>
          <w:r>
            <w:rPr>
              <w:rFonts w:ascii="Georgia" w:hAnsi="Georgia"/>
              <w:b/>
              <w:i w:val="0"/>
              <w:color w:val="000000"/>
              <w:sz w:val="24"/>
            </w:rPr>
            <w:t>Inducción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Código: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PRO-RH-04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Versión: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1.0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  <w:vMerge/>
        </w:tcPr>
        <w:p/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Emisión: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Revisión: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30 jul 2026</w:t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/>
              <w:i w:val="0"/>
              <w:color w:val="C9641D"/>
              <w:sz w:val="16"/>
            </w:rPr>
            <w:t>Procedimiento de Recursos Humanos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Estado: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Borrador para validación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Página: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PAGE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 xml:space="preserve"> de </w:t>
          </w:r>
          <w:r>
            <w:rPr>
              <w:rFonts w:ascii="Calibri" w:hAnsi="Calibri"/>
              <w:b w:val="0"/>
              <w:sz w:val="15"/>
            </w:rPr>
            <w:fldChar w:fldCharType="begin"/>
          </w:r>
          <w:r>
            <w:rPr>
              <w:rFonts w:ascii="Calibri" w:hAnsi="Calibri"/>
              <w:b w:val="0"/>
              <w:sz w:val="15"/>
            </w:rPr>
            <w:instrText xml:space="preserve"> NUMPAGES </w:instrText>
          </w:r>
          <w:r>
            <w:rPr>
              <w:rFonts w:ascii="Calibri" w:hAnsi="Calibri"/>
              <w:b w:val="0"/>
              <w:sz w:val="15"/>
            </w:rPr>
            <w:fldChar w:fldCharType="separate"/>
          </w:r>
          <w:r>
            <w:rPr>
              <w:rFonts w:ascii="Calibri" w:hAnsi="Calibri"/>
              <w:b w:val="0"/>
              <w:sz w:val="15"/>
            </w:rPr>
            <w:t>1</w:t>
          </w:r>
          <w:r>
            <w:rPr>
              <w:rFonts w:ascii="Calibri" w:hAnsi="Calibri"/>
              <w:b w:val="0"/>
              <w:sz w:val="15"/>
            </w:rPr>
            <w:fldChar w:fldCharType="end"/>
          </w:r>
        </w:p>
      </w:tc>
    </w:tr>
    <w:tr>
      <w:tc>
        <w:tcPr>
          <w:tcW w:type="dxa" w:w="2244"/>
          <w:vMerge/>
        </w:tcPr>
        <w:p/>
      </w:tc>
      <w:tc>
        <w:tcPr>
          <w:tcW w:type="dxa" w:w="4080"/>
        </w:tcPr>
        <w:p>
          <w:pPr>
            <w:spacing w:after="0"/>
            <w:jc w:val="center"/>
          </w:pPr>
          <w:r/>
          <w:r>
            <w:rPr>
              <w:rFonts w:ascii="Calibri" w:hAnsi="Calibri"/>
              <w:b w:val="0"/>
              <w:i w:val="0"/>
              <w:color w:val="595959"/>
              <w:sz w:val="15"/>
            </w:rPr>
            <w:t>Documento controlado ISO 9001:2015 (cl. 7.5)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Propietario: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Coordinación de RH</w:t>
          </w:r>
        </w:p>
      </w:tc>
      <w:tc>
        <w:tcPr>
          <w:tcW w:type="dxa" w:w="1938"/>
        </w:tcPr>
        <w:p>
          <w:pPr>
            <w:spacing w:after="0"/>
          </w:pPr>
          <w:r/>
          <w:r>
            <w:rPr>
              <w:rFonts w:ascii="Calibri" w:hAnsi="Calibri"/>
              <w:b/>
              <w:i w:val="0"/>
              <w:color w:val="000000"/>
              <w:sz w:val="15"/>
            </w:rPr>
            <w:t xml:space="preserve">Vigencia: </w:t>
          </w:r>
          <w:r>
            <w:rPr>
              <w:rFonts w:ascii="Calibri" w:hAnsi="Calibri"/>
              <w:b w:val="0"/>
              <w:i w:val="0"/>
              <w:color w:val="1C242E"/>
              <w:sz w:val="15"/>
            </w:rPr>
            <w:t>Julio 2026</w:t>
          </w:r>
        </w:p>
      </w:tc>
    </w:tr>
  </w:tbl>
  <w:p>
    <w:pPr>
      <w:pStyle w:val="Header"/>
      <w:pBdr>
        <w:bottom w:val="single" w:sz="18" w:space="1" w:color="FB803A"/>
      </w:pBdr>
      <w:spacing w:before="0"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PRO-RH-04 Inducción</dc:title>
  <dc:subject>Grupo DISAL · Integración del personal de nuevo ingreso · Para validación de Dirección General</dc:subject>
  <dc:creator>DETA Consultores</dc:creator>
  <cp:keywords/>
  <dc:description>Grupo DISAL | Procedimiento de Recursos Humanos | V1.0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