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Calibri" w:hAnsi="Calibri"/>
          <w:b w:val="0"/>
          <w:i/>
          <w:color w:val="595959"/>
          <w:sz w:val="22"/>
        </w:rPr>
        <w:t>Control interno de la carga que sale a ruta, del handoff de Almacén al cotejo de regreso</w:t>
      </w:r>
    </w:p>
    <w:p>
      <w:pPr>
        <w:keepNext/>
        <w:pBdr>
          <w:bottom w:val="single" w:sz="8" w:space="1" w:color="FB803A"/>
        </w:pBdr>
        <w:spacing w:before="240" w:after="100"/>
        <w:outlineLvl w:val="0"/>
      </w:pPr>
      <w:r>
        <w:rPr>
          <w:rFonts w:ascii="Georgia" w:hAnsi="Georgia"/>
          <w:b/>
          <w:i w:val="0"/>
          <w:color w:val="000000"/>
          <w:sz w:val="22"/>
        </w:rPr>
        <w:t>1. OBJETIVO</w:t>
      </w:r>
    </w:p>
    <w:p>
      <w:pPr>
        <w:spacing w:after="120"/>
      </w:pPr>
      <w:r>
        <w:rPr>
          <w:rFonts w:ascii="Calibri" w:hAnsi="Calibri"/>
          <w:b w:val="0"/>
          <w:i w:val="0"/>
          <w:color w:val="1C242E"/>
          <w:sz w:val="21"/>
        </w:rPr>
        <w:t>Establecer el estándar para preparar, verificar y controlar la salida de las cargas que van a ruta, de modo que ninguna unidad salga sin que su carga se haya verificado contra el pedido y sin autorización, y que lo que sale se pueda cotejar después contra lo que se entregó y lo que regresa. Es el control interno anti robo hormiga que solicitó Dirección.</w:t>
      </w:r>
    </w:p>
    <w:p>
      <w:pPr>
        <w:keepNext/>
        <w:pBdr>
          <w:bottom w:val="single" w:sz="8" w:space="1" w:color="FB803A"/>
        </w:pBdr>
        <w:spacing w:before="240" w:after="100"/>
        <w:outlineLvl w:val="0"/>
      </w:pPr>
      <w:r>
        <w:rPr>
          <w:rFonts w:ascii="Georgia" w:hAnsi="Georgia"/>
          <w:b/>
          <w:i w:val="0"/>
          <w:color w:val="000000"/>
          <w:sz w:val="22"/>
        </w:rPr>
        <w:t>2. ALCANCE</w:t>
      </w:r>
    </w:p>
    <w:p>
      <w:pPr>
        <w:spacing w:after="120"/>
      </w:pPr>
      <w:r>
        <w:rPr>
          <w:rFonts w:ascii="Calibri" w:hAnsi="Calibri"/>
          <w:b w:val="0"/>
          <w:i w:val="0"/>
          <w:color w:val="1C242E"/>
          <w:sz w:val="21"/>
        </w:rPr>
        <w:t>Aplica a toda carga que sale de las instalaciones de DISAL hacia rutas locales y foráneas (Juárez y Delicias), desde que Almacén entrega la carga armada y verificada contra la remisión (PRO-ALM-04) hasta el cotejo de regreso, la recuperación de rejas y el cierre del folio en el Control de Cargas (FOR-LR-02). El control de la carga al vehículo es de Logística. No cubre el acomodo ni el control de inventario (Almacén), ni el registro de costos o en sistema (Compras).</w:t>
      </w:r>
    </w:p>
    <w:p>
      <w:pPr>
        <w:keepNext/>
        <w:pBdr>
          <w:bottom w:val="single" w:sz="8" w:space="1" w:color="FB803A"/>
        </w:pBdr>
        <w:spacing w:before="240" w:after="100"/>
        <w:outlineLvl w:val="0"/>
      </w:pPr>
      <w:r>
        <w:rPr>
          <w:rFonts w:ascii="Georgia" w:hAnsi="Georgia"/>
          <w:b/>
          <w:i w:val="0"/>
          <w:color w:val="000000"/>
          <w:sz w:val="22"/>
        </w:rPr>
        <w:t>3. POLÍTICAS Y LINEAMIENTOS</w:t>
      </w:r>
    </w:p>
    <w:p>
      <w:pPr>
        <w:tabs>
          <w:tab w:pos="340" w:val="left"/>
        </w:tabs>
        <w:spacing w:after="100"/>
        <w:ind w:left="340" w:hanging="340"/>
      </w:pPr>
      <w:r>
        <w:rPr>
          <w:rFonts w:ascii="Calibri" w:hAnsi="Calibri"/>
          <w:b/>
          <w:i w:val="0"/>
          <w:color w:val="C9641D"/>
          <w:sz w:val="20"/>
        </w:rPr>
        <w:t>1.</w:t>
        <w:tab/>
      </w:r>
      <w:r>
        <w:rPr>
          <w:rFonts w:ascii="Calibri" w:hAnsi="Calibri"/>
          <w:b/>
          <w:i w:val="0"/>
          <w:color w:val="000000"/>
          <w:sz w:val="20"/>
        </w:rPr>
        <w:t xml:space="preserve">Nada sale sin verificar y autorizar. </w:t>
      </w:r>
      <w:r>
        <w:rPr>
          <w:rFonts w:ascii="Calibri" w:hAnsi="Calibri"/>
          <w:b w:val="0"/>
          <w:i w:val="0"/>
          <w:color w:val="1C242E"/>
          <w:sz w:val="20"/>
        </w:rPr>
        <w:t>Ninguna carga sale a ruta sin haberse verificado contra el pedido y la remisión y sin la autorización de salida de la Coordinación de Logística. Esta es la regla central del control interno.</w:t>
      </w:r>
    </w:p>
    <w:p>
      <w:pPr>
        <w:tabs>
          <w:tab w:pos="340" w:val="left"/>
        </w:tabs>
        <w:spacing w:after="100"/>
        <w:ind w:left="340" w:hanging="340"/>
      </w:pPr>
      <w:r>
        <w:rPr>
          <w:rFonts w:ascii="Calibri" w:hAnsi="Calibri"/>
          <w:b/>
          <w:i w:val="0"/>
          <w:color w:val="C9641D"/>
          <w:sz w:val="20"/>
        </w:rPr>
        <w:t>2.</w:t>
        <w:tab/>
      </w:r>
      <w:r>
        <w:rPr>
          <w:rFonts w:ascii="Calibri" w:hAnsi="Calibri"/>
          <w:b/>
          <w:i w:val="0"/>
          <w:color w:val="000000"/>
          <w:sz w:val="20"/>
        </w:rPr>
        <w:t xml:space="preserve">Registro obligatorio en el Control de Cargas. </w:t>
      </w:r>
      <w:r>
        <w:rPr>
          <w:rFonts w:ascii="Calibri" w:hAnsi="Calibri"/>
          <w:b w:val="0"/>
          <w:i w:val="0"/>
          <w:color w:val="1C242E"/>
          <w:sz w:val="20"/>
        </w:rPr>
        <w:t>Toda salida se registra en el Control de Cargas (FOR-LR-02) con unidad, chofer y ruta, y por partida la cantidad cargada, la calidad verificada y la unidad de medida. La remisión firmada deja de ser el único respaldo.</w:t>
      </w:r>
    </w:p>
    <w:p>
      <w:pPr>
        <w:tabs>
          <w:tab w:pos="340" w:val="left"/>
        </w:tabs>
        <w:spacing w:after="100"/>
        <w:ind w:left="340" w:hanging="340"/>
      </w:pPr>
      <w:r>
        <w:rPr>
          <w:rFonts w:ascii="Calibri" w:hAnsi="Calibri"/>
          <w:b/>
          <w:i w:val="0"/>
          <w:color w:val="C9641D"/>
          <w:sz w:val="20"/>
        </w:rPr>
        <w:t>3.</w:t>
        <w:tab/>
      </w:r>
      <w:r>
        <w:rPr>
          <w:rFonts w:ascii="Calibri" w:hAnsi="Calibri"/>
          <w:b/>
          <w:i w:val="0"/>
          <w:color w:val="000000"/>
          <w:sz w:val="20"/>
        </w:rPr>
        <w:t xml:space="preserve">Verificación física, no del sistema. </w:t>
      </w:r>
      <w:r>
        <w:rPr>
          <w:rFonts w:ascii="Calibri" w:hAnsi="Calibri"/>
          <w:b w:val="0"/>
          <w:i w:val="0"/>
          <w:color w:val="1C242E"/>
          <w:sz w:val="20"/>
        </w:rPr>
        <w:t>La cantidad se confirma por conteo físico (pieza o peso) y la calidad por inspección directa contra el pedido. El stock del sistema no se toma como verdad para autorizar la carga.</w:t>
      </w:r>
    </w:p>
    <w:p>
      <w:pPr>
        <w:tabs>
          <w:tab w:pos="340" w:val="left"/>
        </w:tabs>
        <w:spacing w:after="100"/>
        <w:ind w:left="340" w:hanging="340"/>
      </w:pPr>
      <w:r>
        <w:rPr>
          <w:rFonts w:ascii="Calibri" w:hAnsi="Calibri"/>
          <w:b/>
          <w:i w:val="0"/>
          <w:color w:val="C9641D"/>
          <w:sz w:val="20"/>
        </w:rPr>
        <w:t>4.</w:t>
        <w:tab/>
      </w:r>
      <w:r>
        <w:rPr>
          <w:rFonts w:ascii="Calibri" w:hAnsi="Calibri"/>
          <w:b/>
          <w:i w:val="0"/>
          <w:color w:val="000000"/>
          <w:sz w:val="20"/>
        </w:rPr>
        <w:t xml:space="preserve">La cadena de frío es parte esencial del traslado. </w:t>
      </w:r>
      <w:r>
        <w:rPr>
          <w:rFonts w:ascii="Calibri" w:hAnsi="Calibri"/>
          <w:b w:val="0"/>
          <w:i w:val="0"/>
          <w:color w:val="1C242E"/>
          <w:sz w:val="20"/>
        </w:rPr>
        <w:t>Proteínas y perecederos viajan siempre en hielera; en rutas foráneas (Juárez y Delicias) es obligatorio. Si la hielera no cabe o no se puede usar, el chofer avisa a la Coordinación de Logística antes de salir; no se omite en silencio. La disciplina se supervisa. Hoy a veces no se cumple por falta de hieleras: la Coordinación de Logística solicita a la Dirección General las hieleras necesarias para cubrir todas las rutas.</w:t>
      </w:r>
    </w:p>
    <w:p>
      <w:pPr>
        <w:tabs>
          <w:tab w:pos="340" w:val="left"/>
        </w:tabs>
        <w:spacing w:after="100"/>
        <w:ind w:left="340" w:hanging="340"/>
      </w:pPr>
      <w:r>
        <w:rPr>
          <w:rFonts w:ascii="Calibri" w:hAnsi="Calibri"/>
          <w:b/>
          <w:i w:val="0"/>
          <w:color w:val="C9641D"/>
          <w:sz w:val="20"/>
        </w:rPr>
        <w:t>5.</w:t>
        <w:tab/>
      </w:r>
      <w:r>
        <w:rPr>
          <w:rFonts w:ascii="Calibri" w:hAnsi="Calibri"/>
          <w:b/>
          <w:i w:val="0"/>
          <w:color w:val="000000"/>
          <w:sz w:val="20"/>
        </w:rPr>
        <w:t xml:space="preserve">Las rejas se recuperan y se registran. </w:t>
      </w:r>
      <w:r>
        <w:rPr>
          <w:rFonts w:ascii="Calibri" w:hAnsi="Calibri"/>
          <w:b w:val="0"/>
          <w:i w:val="0"/>
          <w:color w:val="1C242E"/>
          <w:sz w:val="20"/>
        </w:rPr>
        <w:t>Las rejas se recuperan del cliente en cada entrega y regresan a almacén. El chofer las registra en el Control de Cargas (FOR-LR-02) a la salida y al regreso.</w:t>
      </w:r>
    </w:p>
    <w:p>
      <w:pPr>
        <w:tabs>
          <w:tab w:pos="340" w:val="left"/>
        </w:tabs>
        <w:spacing w:after="100"/>
        <w:ind w:left="340" w:hanging="340"/>
      </w:pPr>
      <w:r>
        <w:rPr>
          <w:rFonts w:ascii="Calibri" w:hAnsi="Calibri"/>
          <w:b/>
          <w:i w:val="0"/>
          <w:color w:val="C9641D"/>
          <w:sz w:val="20"/>
        </w:rPr>
        <w:t>6.</w:t>
        <w:tab/>
      </w:r>
      <w:r>
        <w:rPr>
          <w:rFonts w:ascii="Calibri" w:hAnsi="Calibri"/>
          <w:b/>
          <w:i w:val="0"/>
          <w:color w:val="000000"/>
          <w:sz w:val="20"/>
        </w:rPr>
        <w:t xml:space="preserve">Cotejo de salida contra entrega y regreso. </w:t>
      </w:r>
      <w:r>
        <w:rPr>
          <w:rFonts w:ascii="Calibri" w:hAnsi="Calibri"/>
          <w:b w:val="0"/>
          <w:i w:val="0"/>
          <w:color w:val="1C242E"/>
          <w:sz w:val="20"/>
        </w:rPr>
        <w:t>Lo que sale se coteja contra lo que se entregó y lo que regresa por devolución o sobrante. Este triple cotejo es lo que cierra el control anti robo hormiga.</w:t>
      </w:r>
    </w:p>
    <w:p>
      <w:pPr>
        <w:tabs>
          <w:tab w:pos="340" w:val="left"/>
        </w:tabs>
        <w:spacing w:after="100"/>
        <w:ind w:left="340" w:hanging="340"/>
      </w:pPr>
      <w:r>
        <w:rPr>
          <w:rFonts w:ascii="Calibri" w:hAnsi="Calibri"/>
          <w:b/>
          <w:i w:val="0"/>
          <w:color w:val="C9641D"/>
          <w:sz w:val="20"/>
        </w:rPr>
        <w:t>7.</w:t>
        <w:tab/>
      </w:r>
      <w:r>
        <w:rPr>
          <w:rFonts w:ascii="Calibri" w:hAnsi="Calibri"/>
          <w:b/>
          <w:i w:val="0"/>
          <w:color w:val="000000"/>
          <w:sz w:val="20"/>
        </w:rPr>
        <w:t xml:space="preserve">Frontera con Almacén. </w:t>
      </w:r>
      <w:r>
        <w:rPr>
          <w:rFonts w:ascii="Calibri" w:hAnsi="Calibri"/>
          <w:b w:val="0"/>
          <w:i w:val="0"/>
          <w:color w:val="1C242E"/>
          <w:sz w:val="20"/>
        </w:rPr>
        <w:t>Almacén arma la carga (PRO-ALM-04) y la Coordinación de Logística la verifica contra la remisión. Este procedimiento controla la carga al vehículo y su salida: es la interfaz con Almacén, no documenta el acomodo ni el inventario.</w:t>
      </w:r>
    </w:p>
    <w:p>
      <w:pPr>
        <w:tabs>
          <w:tab w:pos="340" w:val="left"/>
        </w:tabs>
        <w:spacing w:after="100"/>
        <w:ind w:left="340" w:hanging="340"/>
      </w:pPr>
      <w:r>
        <w:rPr>
          <w:rFonts w:ascii="Calibri" w:hAnsi="Calibri"/>
          <w:b/>
          <w:i w:val="0"/>
          <w:color w:val="C9641D"/>
          <w:sz w:val="20"/>
        </w:rPr>
        <w:t>8.</w:t>
        <w:tab/>
      </w:r>
      <w:r>
        <w:rPr>
          <w:rFonts w:ascii="Calibri" w:hAnsi="Calibri"/>
          <w:b/>
          <w:i w:val="0"/>
          <w:color w:val="000000"/>
          <w:sz w:val="20"/>
        </w:rPr>
        <w:t xml:space="preserve">Devoluciones en ruta documentadas. </w:t>
      </w:r>
      <w:r>
        <w:rPr>
          <w:rFonts w:ascii="Calibri" w:hAnsi="Calibri"/>
          <w:b w:val="0"/>
          <w:i w:val="0"/>
          <w:color w:val="1C242E"/>
          <w:sz w:val="20"/>
        </w:rPr>
        <w:t>Toda devolución o faltante detectado en ruta se registra en el Formato de Incidencias (FOR-RC-02) y se concilia al regreso contra el Control de Cargas (FOR-LR-02).</w:t>
      </w:r>
    </w:p>
    <w:p>
      <w:pPr>
        <w:tabs>
          <w:tab w:pos="340" w:val="left"/>
        </w:tabs>
        <w:spacing w:after="100"/>
        <w:ind w:left="340" w:hanging="340"/>
      </w:pPr>
      <w:r>
        <w:rPr>
          <w:rFonts w:ascii="Calibri" w:hAnsi="Calibri"/>
          <w:b/>
          <w:i w:val="0"/>
          <w:color w:val="C9641D"/>
          <w:sz w:val="20"/>
        </w:rPr>
        <w:t>9.</w:t>
        <w:tab/>
      </w:r>
      <w:r>
        <w:rPr>
          <w:rFonts w:ascii="Calibri" w:hAnsi="Calibri"/>
          <w:b/>
          <w:i w:val="0"/>
          <w:color w:val="000000"/>
          <w:sz w:val="20"/>
        </w:rPr>
        <w:t xml:space="preserve">Unidad registrada en cada salida. </w:t>
      </w:r>
      <w:r>
        <w:rPr>
          <w:rFonts w:ascii="Calibri" w:hAnsi="Calibri"/>
          <w:b w:val="0"/>
          <w:i w:val="0"/>
          <w:color w:val="1C242E"/>
          <w:sz w:val="20"/>
        </w:rPr>
        <w:t>Las unidades rotan por ruta, destino y capacidad (no hay unidad fija por chofer). La unidad asignada a cada carga se registra en el Control de Cargas al momento de la salida.</w:t>
      </w:r>
    </w:p>
    <w:p>
      <w:pPr>
        <w:tabs>
          <w:tab w:pos="340" w:val="left"/>
        </w:tabs>
        <w:spacing w:after="100"/>
        <w:ind w:left="340" w:hanging="340"/>
      </w:pPr>
      <w:r>
        <w:rPr>
          <w:rFonts w:ascii="Calibri" w:hAnsi="Calibri"/>
          <w:b/>
          <w:i w:val="0"/>
          <w:color w:val="C9641D"/>
          <w:sz w:val="20"/>
        </w:rPr>
        <w:t>10.</w:t>
        <w:tab/>
      </w:r>
      <w:r>
        <w:rPr>
          <w:rFonts w:ascii="Calibri" w:hAnsi="Calibri"/>
          <w:b/>
          <w:i w:val="0"/>
          <w:color w:val="000000"/>
          <w:sz w:val="20"/>
        </w:rPr>
        <w:t xml:space="preserve">Autorización a cargo de la Coordinación de Logística. </w:t>
      </w:r>
      <w:r>
        <w:rPr>
          <w:rFonts w:ascii="Calibri" w:hAnsi="Calibri"/>
          <w:b w:val="0"/>
          <w:i w:val="0"/>
          <w:color w:val="1C242E"/>
          <w:sz w:val="20"/>
        </w:rPr>
        <w:t>La autorización de salida corresponde a la Coordinación de Logística. Sin firma de autorización la carga no sale, aun cuando el chofer ya la haya subido a la unidad.</w:t>
      </w:r>
    </w:p>
    <w:p>
      <w:pPr>
        <w:keepNext/>
        <w:pBdr>
          <w:bottom w:val="single" w:sz="8" w:space="1" w:color="FB803A"/>
        </w:pBdr>
        <w:spacing w:before="240" w:after="100"/>
        <w:outlineLvl w:val="0"/>
      </w:pPr>
      <w:r>
        <w:rPr>
          <w:rFonts w:ascii="Georgia" w:hAnsi="Georgia"/>
          <w:b/>
          <w:i w:val="0"/>
          <w:color w:val="000000"/>
          <w:sz w:val="22"/>
        </w:rPr>
        <w:t>4. DEFINICIONES Y ABREVIATURAS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Término</w:t>
            </w:r>
          </w:p>
        </w:tc>
        <w:tc>
          <w:tcPr>
            <w:tcW w:type="dxa" w:w="7344"/>
            <w:shd w:val="clear" w:color="auto" w:fill="000000"/>
          </w:tcPr>
          <w:p>
            <w:pPr>
              <w:spacing w:after="0"/>
              <w:jc w:val="center"/>
            </w:pPr>
            <w:r/>
            <w:r>
              <w:rPr>
                <w:rFonts w:ascii="Calibri" w:hAnsi="Calibri"/>
                <w:b/>
                <w:i w:val="0"/>
                <w:color w:val="FFFFFF"/>
                <w:sz w:val="17"/>
              </w:rPr>
              <w:t>Definición</w:t>
            </w:r>
          </w:p>
        </w:tc>
      </w:tr>
      <w:tr>
        <w:trPr>
          <w:cantSplit w:val="true"/>
        </w:trPr>
        <w:tc>
          <w:tcPr>
            <w:tcW w:type="dxa" w:w="2856"/>
          </w:tcPr>
          <w:p>
            <w:pPr>
              <w:spacing w:after="0"/>
            </w:pPr>
            <w:r/>
            <w:r>
              <w:rPr>
                <w:rFonts w:ascii="Calibri" w:hAnsi="Calibri"/>
                <w:b w:val="0"/>
                <w:i w:val="0"/>
                <w:color w:val="1C242E"/>
                <w:sz w:val="19"/>
              </w:rPr>
              <w:t>Carga</w:t>
            </w:r>
          </w:p>
        </w:tc>
        <w:tc>
          <w:tcPr>
            <w:tcW w:type="dxa" w:w="7344"/>
          </w:tcPr>
          <w:p>
            <w:pPr>
              <w:spacing w:after="0"/>
            </w:pPr>
            <w:r/>
            <w:r>
              <w:rPr>
                <w:rFonts w:ascii="Calibri" w:hAnsi="Calibri"/>
                <w:b w:val="0"/>
                <w:i w:val="0"/>
                <w:color w:val="1C242E"/>
                <w:sz w:val="19"/>
              </w:rPr>
              <w:t>Conjunto de mercancía preparada para una ruta, armada por Almacén contra los pedidos del día.</w:t>
            </w:r>
          </w:p>
        </w:tc>
      </w:tr>
      <w:tr>
        <w:trPr>
          <w:cantSplit w:val="true"/>
        </w:trPr>
        <w:tc>
          <w:tcPr>
            <w:tcW w:type="dxa" w:w="2856"/>
          </w:tcPr>
          <w:p>
            <w:pPr>
              <w:spacing w:after="0"/>
            </w:pPr>
            <w:r/>
            <w:r>
              <w:rPr>
                <w:rFonts w:ascii="Calibri" w:hAnsi="Calibri"/>
                <w:b w:val="0"/>
                <w:i w:val="0"/>
                <w:color w:val="1C242E"/>
                <w:sz w:val="19"/>
              </w:rPr>
              <w:t>Control de Cargas (FOR-LR-02)</w:t>
            </w:r>
          </w:p>
        </w:tc>
        <w:tc>
          <w:tcPr>
            <w:tcW w:type="dxa" w:w="7344"/>
          </w:tcPr>
          <w:p>
            <w:pPr>
              <w:spacing w:after="0"/>
            </w:pPr>
            <w:r/>
            <w:r>
              <w:rPr>
                <w:rFonts w:ascii="Calibri" w:hAnsi="Calibri"/>
                <w:b w:val="0"/>
                <w:i w:val="0"/>
                <w:color w:val="1C242E"/>
                <w:sz w:val="19"/>
              </w:rPr>
              <w:t>Formato donde se registra la carga que sale contra el pedido, con cantidad, calidad, unidad de medida y el cotejo de salida y de regreso.</w:t>
            </w:r>
          </w:p>
        </w:tc>
      </w:tr>
      <w:tr>
        <w:trPr>
          <w:cantSplit w:val="true"/>
        </w:trPr>
        <w:tc>
          <w:tcPr>
            <w:tcW w:type="dxa" w:w="2856"/>
          </w:tcPr>
          <w:p>
            <w:pPr>
              <w:spacing w:after="0"/>
            </w:pPr>
            <w:r/>
            <w:r>
              <w:rPr>
                <w:rFonts w:ascii="Calibri" w:hAnsi="Calibri"/>
                <w:b w:val="0"/>
                <w:i w:val="0"/>
                <w:color w:val="1C242E"/>
                <w:sz w:val="19"/>
              </w:rPr>
              <w:t>Cotejo</w:t>
            </w:r>
          </w:p>
        </w:tc>
        <w:tc>
          <w:tcPr>
            <w:tcW w:type="dxa" w:w="7344"/>
          </w:tcPr>
          <w:p>
            <w:pPr>
              <w:spacing w:after="0"/>
            </w:pPr>
            <w:r/>
            <w:r>
              <w:rPr>
                <w:rFonts w:ascii="Calibri" w:hAnsi="Calibri"/>
                <w:b w:val="0"/>
                <w:i w:val="0"/>
                <w:color w:val="1C242E"/>
                <w:sz w:val="19"/>
              </w:rPr>
              <w:t>Comparación entre lo cargado, lo entregado y lo devuelto o sobrante para confirmar que todo cuadra.</w:t>
            </w:r>
          </w:p>
        </w:tc>
      </w:tr>
      <w:tr>
        <w:trPr>
          <w:cantSplit w:val="true"/>
        </w:trPr>
        <w:tc>
          <w:tcPr>
            <w:tcW w:type="dxa" w:w="2856"/>
          </w:tcPr>
          <w:p>
            <w:pPr>
              <w:spacing w:after="0"/>
            </w:pPr>
            <w:r/>
            <w:r>
              <w:rPr>
                <w:rFonts w:ascii="Calibri" w:hAnsi="Calibri"/>
                <w:b w:val="0"/>
                <w:i w:val="0"/>
                <w:color w:val="1C242E"/>
                <w:sz w:val="19"/>
              </w:rPr>
              <w:t>Robo hormiga</w:t>
            </w:r>
          </w:p>
        </w:tc>
        <w:tc>
          <w:tcPr>
            <w:tcW w:type="dxa" w:w="7344"/>
          </w:tcPr>
          <w:p>
            <w:pPr>
              <w:spacing w:after="0"/>
            </w:pPr>
            <w:r/>
            <w:r>
              <w:rPr>
                <w:rFonts w:ascii="Calibri" w:hAnsi="Calibri"/>
                <w:b w:val="0"/>
                <w:i w:val="0"/>
                <w:color w:val="1C242E"/>
                <w:sz w:val="19"/>
              </w:rPr>
              <w:t>Sustracción de mercancía en pequeñas cantidades que pasa inadvertida cuando no existe un control de salida formal.</w:t>
            </w:r>
          </w:p>
        </w:tc>
      </w:tr>
      <w:tr>
        <w:trPr>
          <w:cantSplit w:val="true"/>
        </w:trPr>
        <w:tc>
          <w:tcPr>
            <w:tcW w:type="dxa" w:w="2856"/>
          </w:tcPr>
          <w:p>
            <w:pPr>
              <w:spacing w:after="0"/>
            </w:pPr>
            <w:r/>
            <w:r>
              <w:rPr>
                <w:rFonts w:ascii="Calibri" w:hAnsi="Calibri"/>
                <w:b w:val="0"/>
                <w:i w:val="0"/>
                <w:color w:val="1C242E"/>
                <w:sz w:val="19"/>
              </w:rPr>
              <w:t>Handoff</w:t>
            </w:r>
          </w:p>
        </w:tc>
        <w:tc>
          <w:tcPr>
            <w:tcW w:type="dxa" w:w="7344"/>
          </w:tcPr>
          <w:p>
            <w:pPr>
              <w:spacing w:after="0"/>
            </w:pPr>
            <w:r/>
            <w:r>
              <w:rPr>
                <w:rFonts w:ascii="Calibri" w:hAnsi="Calibri"/>
                <w:b w:val="0"/>
                <w:i w:val="0"/>
                <w:color w:val="1C242E"/>
                <w:sz w:val="19"/>
              </w:rPr>
              <w:t>Entrega formal de responsabilidad entre áreas: Almacén entrega la carga armada a la Coordinación de Logística, y la Coordinación de Logística entrega la carga autorizada al chofer.</w:t>
            </w:r>
          </w:p>
        </w:tc>
      </w:tr>
      <w:tr>
        <w:trPr>
          <w:cantSplit w:val="true"/>
        </w:trPr>
        <w:tc>
          <w:tcPr>
            <w:tcW w:type="dxa" w:w="2856"/>
          </w:tcPr>
          <w:p>
            <w:pPr>
              <w:spacing w:after="0"/>
            </w:pPr>
            <w:r/>
            <w:r>
              <w:rPr>
                <w:rFonts w:ascii="Calibri" w:hAnsi="Calibri"/>
                <w:b w:val="0"/>
                <w:i w:val="0"/>
                <w:color w:val="1C242E"/>
                <w:sz w:val="19"/>
              </w:rPr>
              <w:t>Autorización de salida</w:t>
            </w:r>
          </w:p>
        </w:tc>
        <w:tc>
          <w:tcPr>
            <w:tcW w:type="dxa" w:w="7344"/>
          </w:tcPr>
          <w:p>
            <w:pPr>
              <w:spacing w:after="0"/>
            </w:pPr>
            <w:r/>
            <w:r>
              <w:rPr>
                <w:rFonts w:ascii="Calibri" w:hAnsi="Calibri"/>
                <w:b w:val="0"/>
                <w:i w:val="0"/>
                <w:color w:val="1C242E"/>
                <w:sz w:val="19"/>
              </w:rPr>
              <w:t>Acto por el cual la Coordinación de Logística confirma que la carga fue verificada y permite que la unidad salga a ruta.</w:t>
            </w:r>
          </w:p>
        </w:tc>
      </w:tr>
      <w:tr>
        <w:trPr>
          <w:cantSplit w:val="true"/>
        </w:trPr>
        <w:tc>
          <w:tcPr>
            <w:tcW w:type="dxa" w:w="2856"/>
          </w:tcPr>
          <w:p>
            <w:pPr>
              <w:spacing w:after="0"/>
            </w:pPr>
            <w:r/>
            <w:r>
              <w:rPr>
                <w:rFonts w:ascii="Calibri" w:hAnsi="Calibri"/>
                <w:b w:val="0"/>
                <w:i w:val="0"/>
                <w:color w:val="1C242E"/>
                <w:sz w:val="19"/>
              </w:rPr>
              <w:t>Hielera</w:t>
            </w:r>
          </w:p>
        </w:tc>
        <w:tc>
          <w:tcPr>
            <w:tcW w:type="dxa" w:w="7344"/>
          </w:tcPr>
          <w:p>
            <w:pPr>
              <w:spacing w:after="0"/>
            </w:pPr>
            <w:r/>
            <w:r>
              <w:rPr>
                <w:rFonts w:ascii="Calibri" w:hAnsi="Calibri"/>
                <w:b w:val="0"/>
                <w:i w:val="0"/>
                <w:color w:val="1C242E"/>
                <w:sz w:val="19"/>
              </w:rPr>
              <w:t>Contenedor térmico en el que viajan las proteínas y los perecederos para no romper la cadena de frío durante el traslado.</w:t>
            </w:r>
          </w:p>
        </w:tc>
      </w:tr>
      <w:tr>
        <w:trPr>
          <w:cantSplit w:val="true"/>
        </w:trPr>
        <w:tc>
          <w:tcPr>
            <w:tcW w:type="dxa" w:w="2856"/>
          </w:tcPr>
          <w:p>
            <w:pPr>
              <w:spacing w:after="0"/>
            </w:pPr>
            <w:r/>
            <w:r>
              <w:rPr>
                <w:rFonts w:ascii="Calibri" w:hAnsi="Calibri"/>
                <w:b w:val="0"/>
                <w:i w:val="0"/>
                <w:color w:val="1C242E"/>
                <w:sz w:val="19"/>
              </w:rPr>
              <w:t>Reja</w:t>
            </w:r>
          </w:p>
        </w:tc>
        <w:tc>
          <w:tcPr>
            <w:tcW w:type="dxa" w:w="7344"/>
          </w:tcPr>
          <w:p>
            <w:pPr>
              <w:spacing w:after="0"/>
            </w:pPr>
            <w:r/>
            <w:r>
              <w:rPr>
                <w:rFonts w:ascii="Calibri" w:hAnsi="Calibri"/>
                <w:b w:val="0"/>
                <w:i w:val="0"/>
                <w:color w:val="1C242E"/>
                <w:sz w:val="19"/>
              </w:rPr>
              <w:t>Envase retornable en el que se entrega el producto. Se recupera del cliente en cada entrega y regresa a almacén.</w:t>
            </w:r>
          </w:p>
        </w:tc>
      </w:tr>
      <w:tr>
        <w:trPr>
          <w:cantSplit w:val="true"/>
        </w:trPr>
        <w:tc>
          <w:tcPr>
            <w:tcW w:type="dxa" w:w="2856"/>
          </w:tcPr>
          <w:p>
            <w:pPr>
              <w:spacing w:after="0"/>
            </w:pPr>
            <w:r/>
            <w:r>
              <w:rPr>
                <w:rFonts w:ascii="Calibri" w:hAnsi="Calibri"/>
                <w:b w:val="0"/>
                <w:i w:val="0"/>
                <w:color w:val="1C242E"/>
                <w:sz w:val="19"/>
              </w:rPr>
              <w:t>Sobrante</w:t>
            </w:r>
          </w:p>
        </w:tc>
        <w:tc>
          <w:tcPr>
            <w:tcW w:type="dxa" w:w="7344"/>
          </w:tcPr>
          <w:p>
            <w:pPr>
              <w:spacing w:after="0"/>
            </w:pPr>
            <w:r/>
            <w:r>
              <w:rPr>
                <w:rFonts w:ascii="Calibri" w:hAnsi="Calibri"/>
                <w:b w:val="0"/>
                <w:i w:val="0"/>
                <w:color w:val="1C242E"/>
                <w:sz w:val="19"/>
              </w:rPr>
              <w:t>Mercancía que regresa de la ruta por no haberse entregado, distinta de la devolución del cliente.</w:t>
            </w:r>
          </w:p>
        </w:tc>
      </w:tr>
      <w:tr>
        <w:trPr>
          <w:cantSplit w:val="true"/>
        </w:trPr>
        <w:tc>
          <w:tcPr>
            <w:tcW w:type="dxa" w:w="2856"/>
          </w:tcPr>
          <w:p>
            <w:pPr>
              <w:spacing w:after="0"/>
            </w:pPr>
            <w:r/>
            <w:r>
              <w:rPr>
                <w:rFonts w:ascii="Calibri" w:hAnsi="Calibri"/>
                <w:b w:val="0"/>
                <w:i w:val="0"/>
                <w:color w:val="1C242E"/>
                <w:sz w:val="19"/>
              </w:rPr>
              <w:t>Devolución en ruta</w:t>
            </w:r>
          </w:p>
        </w:tc>
        <w:tc>
          <w:tcPr>
            <w:tcW w:type="dxa" w:w="7344"/>
          </w:tcPr>
          <w:p>
            <w:pPr>
              <w:spacing w:after="0"/>
            </w:pPr>
            <w:r/>
            <w:r>
              <w:rPr>
                <w:rFonts w:ascii="Calibri" w:hAnsi="Calibri"/>
                <w:b w:val="0"/>
                <w:i w:val="0"/>
                <w:color w:val="1C242E"/>
                <w:sz w:val="19"/>
              </w:rPr>
              <w:t>Mercancía que el cliente no acepta o regresa durante la entrega, documentada en el Formato de Incidencias (FOR-RC-02).</w:t>
            </w:r>
          </w:p>
        </w:tc>
      </w:tr>
    </w:tbl>
    <w:p>
      <w:pPr>
        <w:keepNext/>
        <w:pBdr>
          <w:bottom w:val="single" w:sz="8" w:space="1" w:color="FB803A"/>
        </w:pBdr>
        <w:spacing w:before="240" w:after="100"/>
        <w:outlineLvl w:val="0"/>
      </w:pPr>
      <w:r>
        <w:rPr>
          <w:rFonts w:ascii="Georgia" w:hAnsi="Georgia"/>
          <w:b/>
          <w:i w:val="0"/>
          <w:color w:val="000000"/>
          <w:sz w:val="22"/>
        </w:rPr>
        <w:t>5. RESPONSABILIDADES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Responsable</w:t>
            </w:r>
          </w:p>
        </w:tc>
        <w:tc>
          <w:tcPr>
            <w:tcW w:type="dxa" w:w="7344"/>
            <w:shd w:val="clear" w:color="auto" w:fill="000000"/>
          </w:tcPr>
          <w:p>
            <w:pPr>
              <w:spacing w:after="0"/>
              <w:jc w:val="center"/>
            </w:pPr>
            <w:r/>
            <w:r>
              <w:rPr>
                <w:rFonts w:ascii="Calibri" w:hAnsi="Calibri"/>
                <w:b/>
                <w:i w:val="0"/>
                <w:color w:val="FFFFFF"/>
                <w:sz w:val="17"/>
              </w:rPr>
              <w:t>Funciones</w:t>
            </w:r>
          </w:p>
        </w:tc>
      </w:tr>
      <w:tr>
        <w:tc>
          <w:tcPr>
            <w:tcW w:type="dxa" w:w="2856"/>
          </w:tcPr>
          <w:p>
            <w:pPr>
              <w:spacing w:after="0"/>
            </w:pPr>
            <w:r/>
            <w:r>
              <w:rPr>
                <w:rFonts w:ascii="Calibri" w:hAnsi="Calibri"/>
                <w:b/>
                <w:i w:val="0"/>
                <w:color w:val="000000"/>
                <w:sz w:val="19"/>
              </w:rPr>
              <w:t>Coordinación de Logística</w:t>
            </w:r>
          </w:p>
        </w:tc>
        <w:tc>
          <w:tcPr>
            <w:tcW w:type="dxa" w:w="7344"/>
          </w:tcPr>
          <w:p>
            <w:pPr>
              <w:pStyle w:val="ListBullet"/>
              <w:spacing w:after="20"/>
            </w:pPr>
            <w:r/>
            <w:r>
              <w:rPr>
                <w:rFonts w:ascii="Calibri" w:hAnsi="Calibri"/>
                <w:b w:val="0"/>
                <w:i w:val="0"/>
                <w:color w:val="1C242E"/>
                <w:sz w:val="19"/>
              </w:rPr>
              <w:t>Verificar cantidad, calidad y unidad de medida de la carga contra el pedido y la remisión</w:t>
            </w:r>
          </w:p>
          <w:p>
            <w:pPr>
              <w:pStyle w:val="ListBullet"/>
              <w:spacing w:after="20"/>
            </w:pPr>
            <w:r>
              <w:rPr>
                <w:rFonts w:ascii="Calibri" w:hAnsi="Calibri"/>
                <w:b w:val="0"/>
                <w:i w:val="0"/>
                <w:color w:val="1C242E"/>
                <w:sz w:val="19"/>
              </w:rPr>
              <w:t>Supervisar que los perecederos salgan en hielera y que las rejas se registren a la salida y al regreso</w:t>
            </w:r>
          </w:p>
          <w:p>
            <w:pPr>
              <w:pStyle w:val="ListBullet"/>
              <w:spacing w:after="20"/>
            </w:pPr>
            <w:r>
              <w:rPr>
                <w:rFonts w:ascii="Calibri" w:hAnsi="Calibri"/>
                <w:b w:val="0"/>
                <w:i w:val="0"/>
                <w:color w:val="1C242E"/>
                <w:sz w:val="19"/>
              </w:rPr>
              <w:t>Solicitar las hieleras necesarias para que ningún perecedero salga sin ellas</w:t>
            </w:r>
          </w:p>
          <w:p>
            <w:pPr>
              <w:pStyle w:val="ListBullet"/>
              <w:spacing w:after="20"/>
            </w:pPr>
            <w:r>
              <w:rPr>
                <w:rFonts w:ascii="Calibri" w:hAnsi="Calibri"/>
                <w:b w:val="0"/>
                <w:i w:val="0"/>
                <w:color w:val="1C242E"/>
                <w:sz w:val="19"/>
              </w:rPr>
              <w:t>Registrar la carga en el Control de Cargas (FOR-LR-02)</w:t>
            </w:r>
          </w:p>
          <w:p>
            <w:pPr>
              <w:pStyle w:val="ListBullet"/>
              <w:spacing w:after="20"/>
            </w:pPr>
            <w:r>
              <w:rPr>
                <w:rFonts w:ascii="Calibri" w:hAnsi="Calibri"/>
                <w:b w:val="0"/>
                <w:i w:val="0"/>
                <w:color w:val="1C242E"/>
                <w:sz w:val="19"/>
              </w:rPr>
              <w:t>Autorizar la salida de la unidad</w:t>
            </w:r>
          </w:p>
          <w:p>
            <w:pPr>
              <w:pStyle w:val="ListBullet"/>
              <w:spacing w:after="20"/>
            </w:pPr>
            <w:r>
              <w:rPr>
                <w:rFonts w:ascii="Calibri" w:hAnsi="Calibri"/>
                <w:b w:val="0"/>
                <w:i w:val="0"/>
                <w:color w:val="1C242E"/>
                <w:sz w:val="19"/>
              </w:rPr>
              <w:t>Cotejar al regreso lo cargado contra lo entregado y lo devuelto, y cerrar el folio</w:t>
            </w:r>
          </w:p>
        </w:tc>
      </w:tr>
      <w:tr>
        <w:tc>
          <w:tcPr>
            <w:tcW w:type="dxa" w:w="2856"/>
          </w:tcPr>
          <w:p>
            <w:pPr>
              <w:spacing w:after="0"/>
            </w:pPr>
            <w:r/>
            <w:r>
              <w:rPr>
                <w:rFonts w:ascii="Calibri" w:hAnsi="Calibri"/>
                <w:b/>
                <w:i w:val="0"/>
                <w:color w:val="000000"/>
                <w:sz w:val="19"/>
              </w:rPr>
              <w:t>Almacén</w:t>
            </w:r>
          </w:p>
        </w:tc>
        <w:tc>
          <w:tcPr>
            <w:tcW w:type="dxa" w:w="7344"/>
          </w:tcPr>
          <w:p>
            <w:pPr>
              <w:pStyle w:val="ListBullet"/>
              <w:spacing w:after="20"/>
            </w:pPr>
            <w:r/>
            <w:r>
              <w:rPr>
                <w:rFonts w:ascii="Calibri" w:hAnsi="Calibri"/>
                <w:b w:val="0"/>
                <w:i w:val="0"/>
                <w:color w:val="1C242E"/>
                <w:sz w:val="19"/>
              </w:rPr>
              <w:t>Armar la carga contra los pedidos del día</w:t>
            </w:r>
          </w:p>
          <w:p>
            <w:pPr>
              <w:pStyle w:val="ListBullet"/>
              <w:spacing w:after="20"/>
            </w:pPr>
            <w:r>
              <w:rPr>
                <w:rFonts w:ascii="Calibri" w:hAnsi="Calibri"/>
                <w:b w:val="0"/>
                <w:i w:val="0"/>
                <w:color w:val="1C242E"/>
                <w:sz w:val="19"/>
              </w:rPr>
              <w:t>Entregar la carga armada a la Coordinación de Logística (handoff) para su verificación</w:t>
            </w:r>
          </w:p>
        </w:tc>
      </w:tr>
      <w:tr>
        <w:tc>
          <w:tcPr>
            <w:tcW w:type="dxa" w:w="2856"/>
          </w:tcPr>
          <w:p>
            <w:pPr>
              <w:spacing w:after="0"/>
            </w:pPr>
            <w:r/>
            <w:r>
              <w:rPr>
                <w:rFonts w:ascii="Calibri" w:hAnsi="Calibri"/>
                <w:b/>
                <w:i w:val="0"/>
                <w:color w:val="000000"/>
                <w:sz w:val="19"/>
              </w:rPr>
              <w:t>Chofer / Repartidor</w:t>
            </w:r>
          </w:p>
        </w:tc>
        <w:tc>
          <w:tcPr>
            <w:tcW w:type="dxa" w:w="7344"/>
          </w:tcPr>
          <w:p>
            <w:pPr>
              <w:pStyle w:val="ListBullet"/>
              <w:spacing w:after="20"/>
            </w:pPr>
            <w:r/>
            <w:r>
              <w:rPr>
                <w:rFonts w:ascii="Calibri" w:hAnsi="Calibri"/>
                <w:b w:val="0"/>
                <w:i w:val="0"/>
                <w:color w:val="1C242E"/>
                <w:sz w:val="19"/>
              </w:rPr>
              <w:t>Cargar la unidad una vez verificada la carga, con los perecederos en hielera, y avisar antes de salir si no es posible</w:t>
            </w:r>
          </w:p>
          <w:p>
            <w:pPr>
              <w:pStyle w:val="ListBullet"/>
              <w:spacing w:after="20"/>
            </w:pPr>
            <w:r>
              <w:rPr>
                <w:rFonts w:ascii="Calibri" w:hAnsi="Calibri"/>
                <w:b w:val="0"/>
                <w:i w:val="0"/>
                <w:color w:val="1C242E"/>
                <w:sz w:val="19"/>
              </w:rPr>
              <w:t>Entregar la mercancía y recabar firma y sello en la remisión</w:t>
            </w:r>
          </w:p>
          <w:p>
            <w:pPr>
              <w:pStyle w:val="ListBullet"/>
              <w:spacing w:after="20"/>
            </w:pPr>
            <w:r>
              <w:rPr>
                <w:rFonts w:ascii="Calibri" w:hAnsi="Calibri"/>
                <w:b w:val="0"/>
                <w:i w:val="0"/>
                <w:color w:val="1C242E"/>
                <w:sz w:val="19"/>
              </w:rPr>
              <w:t>Regresar las rejas que salieron con la carga y registrarlas en el Control de Cargas al regreso</w:t>
            </w:r>
          </w:p>
          <w:p>
            <w:pPr>
              <w:pStyle w:val="ListBullet"/>
              <w:spacing w:after="20"/>
            </w:pPr>
            <w:r>
              <w:rPr>
                <w:rFonts w:ascii="Calibri" w:hAnsi="Calibri"/>
                <w:b w:val="0"/>
                <w:i w:val="0"/>
                <w:color w:val="1C242E"/>
                <w:sz w:val="19"/>
              </w:rPr>
              <w:t>Registrar las devoluciones en ruta en el Formato de Incidencias (FOR-RC-02) y entregar la evidencia y los sobrantes a la Coordinación de Logística al regreso</w:t>
            </w:r>
          </w:p>
        </w:tc>
      </w:tr>
      <w:tr>
        <w:tc>
          <w:tcPr>
            <w:tcW w:type="dxa" w:w="2856"/>
          </w:tcPr>
          <w:p>
            <w:pPr>
              <w:spacing w:after="0"/>
            </w:pPr>
            <w:r/>
            <w:r>
              <w:rPr>
                <w:rFonts w:ascii="Calibri" w:hAnsi="Calibri"/>
                <w:b/>
                <w:i w:val="0"/>
                <w:color w:val="000000"/>
                <w:sz w:val="19"/>
              </w:rPr>
              <w:t>Dirección General</w:t>
            </w:r>
          </w:p>
        </w:tc>
        <w:tc>
          <w:tcPr>
            <w:tcW w:type="dxa" w:w="7344"/>
          </w:tcPr>
          <w:p>
            <w:pPr>
              <w:pStyle w:val="ListBullet"/>
              <w:spacing w:after="20"/>
            </w:pPr>
            <w:r/>
            <w:r>
              <w:rPr>
                <w:rFonts w:ascii="Calibri" w:hAnsi="Calibri"/>
                <w:b w:val="0"/>
                <w:i w:val="0"/>
                <w:color w:val="1C242E"/>
                <w:sz w:val="19"/>
              </w:rPr>
              <w:t>Autorizar el estándar de control de salida de cargas</w:t>
            </w:r>
          </w:p>
          <w:p>
            <w:pPr>
              <w:pStyle w:val="ListBullet"/>
              <w:spacing w:after="20"/>
            </w:pPr>
            <w:r>
              <w:rPr>
                <w:rFonts w:ascii="Calibri" w:hAnsi="Calibri"/>
                <w:b w:val="0"/>
                <w:i w:val="0"/>
                <w:color w:val="1C242E"/>
                <w:sz w:val="19"/>
              </w:rPr>
              <w:t>Dar seguimiento a las diferencias y faltantes reportados en el cotejo de regreso</w:t>
            </w:r>
          </w:p>
        </w:tc>
      </w:tr>
    </w:tbl>
    <w:p>
      <w:pPr>
        <w:keepNext/>
        <w:pBdr>
          <w:bottom w:val="single" w:sz="8" w:space="1" w:color="FB803A"/>
        </w:pBdr>
        <w:spacing w:before="240" w:after="100"/>
        <w:outlineLvl w:val="0"/>
      </w:pPr>
      <w:r>
        <w:rPr>
          <w:rFonts w:ascii="Georgia" w:hAnsi="Georgia"/>
          <w:b/>
          <w:i w:val="0"/>
          <w:color w:val="000000"/>
          <w:sz w:val="22"/>
        </w:rPr>
        <w:t>6. PROPIEDAD Y APROBACIÓN</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264"/>
        <w:gridCol w:w="6936"/>
      </w:tblGrid>
      <w:tr>
        <w:trPr>
          <w:tblHeader w:val="true"/>
        </w:trPr>
        <w:tc>
          <w:tcPr>
            <w:tcW w:type="dxa" w:w="3264"/>
            <w:shd w:val="clear" w:color="auto" w:fill="000000"/>
          </w:tcPr>
          <w:p>
            <w:pPr>
              <w:spacing w:after="0"/>
              <w:jc w:val="center"/>
            </w:pPr>
            <w:r/>
            <w:r>
              <w:rPr>
                <w:rFonts w:ascii="Calibri" w:hAnsi="Calibri"/>
                <w:b/>
                <w:i w:val="0"/>
                <w:color w:val="FFFFFF"/>
                <w:sz w:val="17"/>
              </w:rPr>
              <w:t>Concepto</w:t>
            </w:r>
          </w:p>
        </w:tc>
        <w:tc>
          <w:tcPr>
            <w:tcW w:type="dxa" w:w="6936"/>
            <w:shd w:val="clear" w:color="auto" w:fill="000000"/>
          </w:tcPr>
          <w:p>
            <w:pPr>
              <w:spacing w:after="0"/>
              <w:jc w:val="center"/>
            </w:pPr>
            <w:r/>
            <w:r>
              <w:rPr>
                <w:rFonts w:ascii="Calibri" w:hAnsi="Calibri"/>
                <w:b/>
                <w:i w:val="0"/>
                <w:color w:val="FFFFFF"/>
                <w:sz w:val="17"/>
              </w:rPr>
              <w:t>Detalle</w:t>
            </w:r>
          </w:p>
        </w:tc>
      </w:tr>
      <w:tr>
        <w:trPr>
          <w:cantSplit w:val="true"/>
        </w:trPr>
        <w:tc>
          <w:tcPr>
            <w:tcW w:type="dxa" w:w="3264"/>
          </w:tcPr>
          <w:p>
            <w:pPr>
              <w:spacing w:after="0"/>
            </w:pPr>
            <w:r/>
            <w:r>
              <w:rPr>
                <w:rFonts w:ascii="Calibri" w:hAnsi="Calibri"/>
                <w:b w:val="0"/>
                <w:i w:val="0"/>
                <w:color w:val="1C242E"/>
                <w:sz w:val="19"/>
              </w:rPr>
              <w:t>Propietario del procedimiento</w:t>
            </w:r>
          </w:p>
        </w:tc>
        <w:tc>
          <w:tcPr>
            <w:tcW w:type="dxa" w:w="6936"/>
          </w:tcPr>
          <w:p>
            <w:pPr>
              <w:spacing w:after="0"/>
            </w:pPr>
            <w:r/>
            <w:r>
              <w:rPr>
                <w:rFonts w:ascii="Calibri" w:hAnsi="Calibri"/>
                <w:b w:val="0"/>
                <w:i w:val="0"/>
                <w:color w:val="1C242E"/>
                <w:sz w:val="19"/>
              </w:rPr>
              <w:t>Coordinación de Logística</w:t>
            </w:r>
          </w:p>
        </w:tc>
      </w:tr>
      <w:tr>
        <w:trPr>
          <w:cantSplit w:val="true"/>
        </w:trPr>
        <w:tc>
          <w:tcPr>
            <w:tcW w:type="dxa" w:w="3264"/>
          </w:tcPr>
          <w:p>
            <w:pPr>
              <w:spacing w:after="0"/>
            </w:pPr>
            <w:r/>
            <w:r>
              <w:rPr>
                <w:rFonts w:ascii="Calibri" w:hAnsi="Calibri"/>
                <w:b w:val="0"/>
                <w:i w:val="0"/>
                <w:color w:val="1C242E"/>
                <w:sz w:val="19"/>
              </w:rPr>
              <w:t>Elaboró</w:t>
            </w:r>
          </w:p>
        </w:tc>
        <w:tc>
          <w:tcPr>
            <w:tcW w:type="dxa" w:w="6936"/>
          </w:tcPr>
          <w:p>
            <w:pPr>
              <w:spacing w:after="0"/>
            </w:pPr>
            <w:r/>
            <w:r>
              <w:rPr>
                <w:rFonts w:ascii="Calibri" w:hAnsi="Calibri"/>
                <w:b w:val="0"/>
                <w:i w:val="0"/>
                <w:color w:val="1C242E"/>
                <w:sz w:val="19"/>
              </w:rPr>
              <w:t>DETA Consultores</w:t>
            </w:r>
          </w:p>
        </w:tc>
      </w:tr>
      <w:tr>
        <w:trPr>
          <w:cantSplit w:val="true"/>
        </w:trPr>
        <w:tc>
          <w:tcPr>
            <w:tcW w:type="dxa" w:w="3264"/>
          </w:tcPr>
          <w:p>
            <w:pPr>
              <w:spacing w:after="0"/>
            </w:pPr>
            <w:r/>
            <w:r>
              <w:rPr>
                <w:rFonts w:ascii="Calibri" w:hAnsi="Calibri"/>
                <w:b w:val="0"/>
                <w:i w:val="0"/>
                <w:color w:val="1C242E"/>
                <w:sz w:val="19"/>
              </w:rPr>
              <w:t>Autoriza</w:t>
            </w:r>
          </w:p>
        </w:tc>
        <w:tc>
          <w:tcPr>
            <w:tcW w:type="dxa" w:w="6936"/>
          </w:tcPr>
          <w:p>
            <w:pPr>
              <w:spacing w:after="0"/>
            </w:pPr>
            <w:r/>
            <w:r>
              <w:rPr>
                <w:rFonts w:ascii="Calibri" w:hAnsi="Calibri"/>
                <w:b w:val="0"/>
                <w:i w:val="0"/>
                <w:color w:val="1C242E"/>
                <w:sz w:val="19"/>
              </w:rPr>
              <w:t>Dirección General</w:t>
            </w:r>
          </w:p>
        </w:tc>
      </w:tr>
      <w:tr>
        <w:trPr>
          <w:cantSplit w:val="true"/>
        </w:trPr>
        <w:tc>
          <w:tcPr>
            <w:tcW w:type="dxa" w:w="3264"/>
          </w:tcPr>
          <w:p>
            <w:pPr>
              <w:spacing w:after="0"/>
            </w:pPr>
            <w:r/>
            <w:r>
              <w:rPr>
                <w:rFonts w:ascii="Calibri" w:hAnsi="Calibri"/>
                <w:b w:val="0"/>
                <w:i w:val="0"/>
                <w:color w:val="1C242E"/>
                <w:sz w:val="19"/>
              </w:rPr>
              <w:t>Formatos asociados</w:t>
            </w:r>
          </w:p>
        </w:tc>
        <w:tc>
          <w:tcPr>
            <w:tcW w:type="dxa" w:w="6936"/>
          </w:tcPr>
          <w:p>
            <w:pPr>
              <w:spacing w:after="0"/>
            </w:pPr>
            <w:r/>
            <w:r>
              <w:rPr>
                <w:rFonts w:ascii="Calibri" w:hAnsi="Calibri"/>
                <w:b w:val="0"/>
                <w:i w:val="0"/>
                <w:color w:val="1C242E"/>
                <w:sz w:val="19"/>
              </w:rPr>
              <w:t>FOR-LR-02, FOR-RC-02</w:t>
            </w:r>
          </w:p>
        </w:tc>
      </w:tr>
    </w:tbl>
    <w:p>
      <w:pPr>
        <w:keepNext/>
        <w:pBdr>
          <w:bottom w:val="single" w:sz="8" w:space="1" w:color="FB803A"/>
        </w:pBdr>
        <w:spacing w:before="240" w:after="100"/>
        <w:outlineLvl w:val="0"/>
      </w:pPr>
      <w:r>
        <w:rPr>
          <w:rFonts w:ascii="Georgia" w:hAnsi="Georgia"/>
          <w:b/>
          <w:i w:val="0"/>
          <w:color w:val="000000"/>
          <w:sz w:val="22"/>
        </w:rPr>
        <w:t>7. DESARROLLO DEL PROCEDIMIENTO</w:t>
      </w:r>
    </w:p>
    <w:p>
      <w:pPr>
        <w:spacing w:after="80"/>
      </w:pPr>
      <w:r>
        <w:rPr>
          <w:rFonts w:ascii="Calibri" w:hAnsi="Calibri"/>
          <w:b w:val="0"/>
          <w:i w:val="0"/>
          <w:color w:val="1C242E"/>
          <w:sz w:val="20"/>
        </w:rPr>
        <w:t>Cada paso identifica al responsable y el formato que debe generarse cuando aplica.</w:t>
      </w:r>
    </w:p>
    <w:p>
      <w:pPr>
        <w:keepNext/>
        <w:spacing w:before="200" w:after="80"/>
        <w:outlineLvl w:val="1"/>
      </w:pPr>
      <w:r>
        <w:rPr>
          <w:rFonts w:ascii="Calibri" w:hAnsi="Calibri"/>
          <w:b/>
          <w:i w:val="0"/>
          <w:color w:val="C9641D"/>
          <w:sz w:val="21"/>
        </w:rPr>
        <w:t xml:space="preserve">7.1 </w:t>
      </w:r>
      <w:r>
        <w:rPr>
          <w:rFonts w:ascii="Calibri" w:hAnsi="Calibri"/>
          <w:b/>
          <w:i w:val="0"/>
          <w:color w:val="000000"/>
          <w:sz w:val="21"/>
        </w:rPr>
        <w:t>Fase 1. Preparación de la carga</w:t>
      </w:r>
    </w:p>
    <w:p>
      <w:pPr>
        <w:keepNext/>
        <w:tabs>
          <w:tab w:pos="907" w:val="left"/>
        </w:tabs>
        <w:spacing w:after="40"/>
        <w:ind w:left="907" w:hanging="680"/>
      </w:pPr>
      <w:r>
        <w:rPr>
          <w:rFonts w:ascii="Calibri" w:hAnsi="Calibri"/>
          <w:b/>
          <w:i w:val="0"/>
          <w:color w:val="C9641D"/>
          <w:sz w:val="20"/>
        </w:rPr>
        <w:t>7.1.1</w:t>
        <w:tab/>
      </w:r>
      <w:r>
        <w:rPr>
          <w:rFonts w:ascii="Calibri" w:hAnsi="Calibri"/>
          <w:b/>
          <w:i w:val="0"/>
          <w:color w:val="000000"/>
          <w:sz w:val="20"/>
        </w:rPr>
        <w:t xml:space="preserve">Recibir la carga armada de Almacén. </w:t>
      </w:r>
      <w:r>
        <w:rPr>
          <w:rFonts w:ascii="Calibri" w:hAnsi="Calibri"/>
          <w:b w:val="0"/>
          <w:i w:val="0"/>
          <w:color w:val="1C242E"/>
          <w:sz w:val="20"/>
        </w:rPr>
        <w:t>Recibir de Almacén la carga ya armada (PRO-ALM-04) y confirmar el handoff. La verificación de la carga contra la remisión la hace la Coordinación de Logística.</w:t>
      </w:r>
    </w:p>
    <w:p>
      <w:pPr>
        <w:spacing w:after="100"/>
        <w:ind w:left="907"/>
      </w:pPr>
      <w:r>
        <w:rPr>
          <w:rFonts w:ascii="Calibri" w:hAnsi="Calibri"/>
          <w:b/>
          <w:i w:val="0"/>
          <w:color w:val="C9641D"/>
          <w:sz w:val="18"/>
        </w:rPr>
        <w:t xml:space="preserve">Interfaz: </w:t>
      </w:r>
      <w:r>
        <w:rPr>
          <w:rFonts w:ascii="Calibri" w:hAnsi="Calibri"/>
          <w:b w:val="0"/>
          <w:i w:val="0"/>
          <w:color w:val="595959"/>
          <w:sz w:val="18"/>
        </w:rPr>
        <w:t>Almacén surte y arma la carga; la Coordinación de Logística la verifica contra la remisión y la controla al vehículo</w:t>
      </w:r>
    </w:p>
    <w:p>
      <w:pPr>
        <w:tabs>
          <w:tab w:pos="907" w:val="left"/>
        </w:tabs>
        <w:spacing w:after="100"/>
        <w:ind w:left="907" w:hanging="680"/>
      </w:pPr>
      <w:r>
        <w:rPr>
          <w:rFonts w:ascii="Calibri" w:hAnsi="Calibri"/>
          <w:b/>
          <w:i w:val="0"/>
          <w:color w:val="C9641D"/>
          <w:sz w:val="20"/>
        </w:rPr>
        <w:t>7.1.2</w:t>
        <w:tab/>
      </w:r>
      <w:r>
        <w:rPr>
          <w:rFonts w:ascii="Calibri" w:hAnsi="Calibri"/>
          <w:b/>
          <w:i w:val="0"/>
          <w:color w:val="000000"/>
          <w:sz w:val="20"/>
        </w:rPr>
        <w:t xml:space="preserve">Cotejar la carga contra el pedido y la remisión. </w:t>
      </w:r>
      <w:r>
        <w:rPr>
          <w:rFonts w:ascii="Calibri" w:hAnsi="Calibri"/>
          <w:b w:val="0"/>
          <w:i w:val="0"/>
          <w:color w:val="1C242E"/>
          <w:sz w:val="20"/>
        </w:rPr>
        <w:t>Comparar la carga recibida contra el pedido y la remisión correspondiente antes de cualquier registro.</w:t>
      </w:r>
    </w:p>
    <w:p>
      <w:pPr>
        <w:keepNext/>
        <w:tabs>
          <w:tab w:pos="907" w:val="left"/>
        </w:tabs>
        <w:spacing w:after="40"/>
        <w:ind w:left="907" w:hanging="680"/>
      </w:pPr>
      <w:r>
        <w:rPr>
          <w:rFonts w:ascii="Calibri" w:hAnsi="Calibri"/>
          <w:b/>
          <w:i w:val="0"/>
          <w:color w:val="C9641D"/>
          <w:sz w:val="20"/>
        </w:rPr>
        <w:t>7.1.3</w:t>
        <w:tab/>
      </w:r>
      <w:r>
        <w:rPr>
          <w:rFonts w:ascii="Calibri" w:hAnsi="Calibri"/>
          <w:b/>
          <w:i w:val="0"/>
          <w:color w:val="000000"/>
          <w:sz w:val="20"/>
        </w:rPr>
        <w:t xml:space="preserve">Abrir el folio de Control de Cargas. </w:t>
      </w:r>
      <w:r>
        <w:rPr>
          <w:rFonts w:ascii="Calibri" w:hAnsi="Calibri"/>
          <w:b w:val="0"/>
          <w:i w:val="0"/>
          <w:color w:val="1C242E"/>
          <w:sz w:val="20"/>
        </w:rPr>
        <w:t>Abrir el registro con folio, fecha, unidad asignada, chofer y ruta o zona.</w:t>
      </w:r>
    </w:p>
    <w:p>
      <w:pPr>
        <w:spacing w:after="100"/>
        <w:ind w:left="907"/>
      </w:pPr>
      <w:r>
        <w:rPr>
          <w:rFonts w:ascii="Calibri" w:hAnsi="Calibri"/>
          <w:b/>
          <w:i w:val="0"/>
          <w:color w:val="C9641D"/>
          <w:sz w:val="18"/>
        </w:rPr>
        <w:t xml:space="preserve">Formato: </w:t>
      </w:r>
      <w:r>
        <w:rPr>
          <w:rFonts w:ascii="Calibri" w:hAnsi="Calibri"/>
          <w:b w:val="0"/>
          <w:i w:val="0"/>
          <w:color w:val="595959"/>
          <w:sz w:val="18"/>
        </w:rPr>
        <w:t>FOR-LR-02 Control de Cargas y Salida</w:t>
      </w:r>
    </w:p>
    <w:p>
      <w:pPr>
        <w:keepNext/>
        <w:spacing w:before="200" w:after="80"/>
        <w:outlineLvl w:val="1"/>
      </w:pPr>
      <w:r>
        <w:rPr>
          <w:rFonts w:ascii="Calibri" w:hAnsi="Calibri"/>
          <w:b/>
          <w:i w:val="0"/>
          <w:color w:val="C9641D"/>
          <w:sz w:val="21"/>
        </w:rPr>
        <w:t xml:space="preserve">7.2 </w:t>
      </w:r>
      <w:r>
        <w:rPr>
          <w:rFonts w:ascii="Calibri" w:hAnsi="Calibri"/>
          <w:b/>
          <w:i w:val="0"/>
          <w:color w:val="000000"/>
          <w:sz w:val="21"/>
        </w:rPr>
        <w:t>Fase 2. Verificación de cantidad, calidad, unidad y cadena de frío</w:t>
      </w:r>
    </w:p>
    <w:p>
      <w:pPr>
        <w:keepNext/>
        <w:tabs>
          <w:tab w:pos="907" w:val="left"/>
        </w:tabs>
        <w:spacing w:after="40"/>
        <w:ind w:left="907" w:hanging="680"/>
      </w:pPr>
      <w:r>
        <w:rPr>
          <w:rFonts w:ascii="Calibri" w:hAnsi="Calibri"/>
          <w:b/>
          <w:i w:val="0"/>
          <w:color w:val="C9641D"/>
          <w:sz w:val="20"/>
        </w:rPr>
        <w:t>7.2.1</w:t>
        <w:tab/>
      </w:r>
      <w:r>
        <w:rPr>
          <w:rFonts w:ascii="Calibri" w:hAnsi="Calibri"/>
          <w:b/>
          <w:i w:val="0"/>
          <w:color w:val="000000"/>
          <w:sz w:val="20"/>
        </w:rPr>
        <w:t xml:space="preserve">Verificar la cantidad por conteo físico. </w:t>
      </w:r>
      <w:r>
        <w:rPr>
          <w:rFonts w:ascii="Calibri" w:hAnsi="Calibri"/>
          <w:b w:val="0"/>
          <w:i w:val="0"/>
          <w:color w:val="1C242E"/>
          <w:sz w:val="20"/>
        </w:rPr>
        <w:t>Contar la mercancía por pieza o peso contra el pedido. No tomar el stock del sistema como verdad.</w:t>
      </w:r>
    </w:p>
    <w:p>
      <w:pPr>
        <w:spacing w:after="100"/>
        <w:ind w:left="907"/>
      </w:pPr>
      <w:r>
        <w:rPr>
          <w:rFonts w:ascii="Calibri" w:hAnsi="Calibri"/>
          <w:b/>
          <w:i w:val="0"/>
          <w:color w:val="C9641D"/>
          <w:sz w:val="18"/>
        </w:rPr>
        <w:t xml:space="preserve">Criterio: </w:t>
      </w:r>
      <w:r>
        <w:rPr>
          <w:rFonts w:ascii="Calibri" w:hAnsi="Calibri"/>
          <w:b w:val="0"/>
          <w:i w:val="0"/>
          <w:color w:val="595959"/>
          <w:sz w:val="18"/>
        </w:rPr>
        <w:t>Conteo físico por pieza o peso, no del sistema</w:t>
      </w:r>
    </w:p>
    <w:p>
      <w:pPr>
        <w:tabs>
          <w:tab w:pos="907" w:val="left"/>
        </w:tabs>
        <w:spacing w:after="100"/>
        <w:ind w:left="907" w:hanging="680"/>
      </w:pPr>
      <w:r>
        <w:rPr>
          <w:rFonts w:ascii="Calibri" w:hAnsi="Calibri"/>
          <w:b/>
          <w:i w:val="0"/>
          <w:color w:val="C9641D"/>
          <w:sz w:val="20"/>
        </w:rPr>
        <w:t>7.2.2</w:t>
        <w:tab/>
      </w:r>
      <w:r>
        <w:rPr>
          <w:rFonts w:ascii="Calibri" w:hAnsi="Calibri"/>
          <w:b/>
          <w:i w:val="0"/>
          <w:color w:val="000000"/>
          <w:sz w:val="20"/>
        </w:rPr>
        <w:t xml:space="preserve">Verificar la calidad de cada partida. </w:t>
      </w:r>
      <w:r>
        <w:rPr>
          <w:rFonts w:ascii="Calibri" w:hAnsi="Calibri"/>
          <w:b w:val="0"/>
          <w:i w:val="0"/>
          <w:color w:val="1C242E"/>
          <w:sz w:val="20"/>
        </w:rPr>
        <w:t>Revisar la calidad de cada partida contra el pedido y marcar OK u observación.</w:t>
      </w:r>
    </w:p>
    <w:p>
      <w:pPr>
        <w:keepNext/>
        <w:tabs>
          <w:tab w:pos="907" w:val="left"/>
        </w:tabs>
        <w:spacing w:after="40"/>
        <w:ind w:left="907" w:hanging="680"/>
      </w:pPr>
      <w:r>
        <w:rPr>
          <w:rFonts w:ascii="Calibri" w:hAnsi="Calibri"/>
          <w:b/>
          <w:i w:val="0"/>
          <w:color w:val="C9641D"/>
          <w:sz w:val="20"/>
        </w:rPr>
        <w:t>7.2.3</w:t>
        <w:tab/>
      </w:r>
      <w:r>
        <w:rPr>
          <w:rFonts w:ascii="Calibri" w:hAnsi="Calibri"/>
          <w:b/>
          <w:i w:val="0"/>
          <w:color w:val="000000"/>
          <w:sz w:val="20"/>
        </w:rPr>
        <w:t xml:space="preserve">Acomodar los perecederos en hielera. </w:t>
      </w:r>
      <w:r>
        <w:rPr>
          <w:rFonts w:ascii="Calibri" w:hAnsi="Calibri"/>
          <w:b w:val="0"/>
          <w:i w:val="0"/>
          <w:color w:val="1C242E"/>
          <w:sz w:val="20"/>
        </w:rPr>
        <w:t>Acomodar las proteínas y los perecederos en hielera y marcarlo por partida en el Control de Cargas. Si la hielera no cabe, no se puede usar o no hay hieleras suficientes, el chofer avisa a la Coordinación de Logística antes de salir.</w:t>
      </w:r>
    </w:p>
    <w:p>
      <w:pPr>
        <w:spacing w:after="100"/>
        <w:ind w:left="907"/>
      </w:pPr>
      <w:r>
        <w:rPr>
          <w:rFonts w:ascii="Calibri" w:hAnsi="Calibri"/>
          <w:b/>
          <w:i w:val="0"/>
          <w:color w:val="C9641D"/>
          <w:sz w:val="18"/>
        </w:rPr>
        <w:t xml:space="preserve">Control: </w:t>
      </w:r>
      <w:r>
        <w:rPr>
          <w:rFonts w:ascii="Calibri" w:hAnsi="Calibri"/>
          <w:b w:val="0"/>
          <w:i w:val="0"/>
          <w:color w:val="595959"/>
          <w:sz w:val="18"/>
        </w:rPr>
        <w:t>Cadena de frío: ningún perecedero sale sin hielera ni sin aviso previo. Hoy a veces no se cumple por falta de hieleras; la Coordinación de Logística solicita las que faltan</w:t>
      </w:r>
    </w:p>
    <w:p>
      <w:pPr>
        <w:keepNext/>
        <w:tabs>
          <w:tab w:pos="907" w:val="left"/>
        </w:tabs>
        <w:spacing w:after="40"/>
        <w:ind w:left="907" w:hanging="680"/>
      </w:pPr>
      <w:r>
        <w:rPr>
          <w:rFonts w:ascii="Calibri" w:hAnsi="Calibri"/>
          <w:b/>
          <w:i w:val="0"/>
          <w:color w:val="C9641D"/>
          <w:sz w:val="20"/>
        </w:rPr>
        <w:t>7.2.4</w:t>
        <w:tab/>
      </w:r>
      <w:r>
        <w:rPr>
          <w:rFonts w:ascii="Calibri" w:hAnsi="Calibri"/>
          <w:b/>
          <w:i w:val="0"/>
          <w:color w:val="000000"/>
          <w:sz w:val="20"/>
        </w:rPr>
        <w:t xml:space="preserve">Registrar cantidad, calidad y unidad de medida. </w:t>
      </w:r>
      <w:r>
        <w:rPr>
          <w:rFonts w:ascii="Calibri" w:hAnsi="Calibri"/>
          <w:b w:val="0"/>
          <w:i w:val="0"/>
          <w:color w:val="1C242E"/>
          <w:sz w:val="20"/>
        </w:rPr>
        <w:t>Registrar por partida la cantidad cargada, la calidad verificada y la unidad de medida en el Control de Cargas.</w:t>
      </w:r>
    </w:p>
    <w:p>
      <w:pPr>
        <w:spacing w:after="100"/>
        <w:ind w:left="907"/>
      </w:pPr>
      <w:r>
        <w:rPr>
          <w:rFonts w:ascii="Calibri" w:hAnsi="Calibri"/>
          <w:b/>
          <w:i w:val="0"/>
          <w:color w:val="C9641D"/>
          <w:sz w:val="18"/>
        </w:rPr>
        <w:t xml:space="preserve">Formato: </w:t>
      </w:r>
      <w:r>
        <w:rPr>
          <w:rFonts w:ascii="Calibri" w:hAnsi="Calibri"/>
          <w:b w:val="0"/>
          <w:i w:val="0"/>
          <w:color w:val="595959"/>
          <w:sz w:val="18"/>
        </w:rPr>
        <w:t>FOR-LR-02 Control de Cargas y Salida</w:t>
      </w:r>
    </w:p>
    <w:p>
      <w:pPr>
        <w:keepNext/>
        <w:spacing w:before="200" w:after="80"/>
        <w:outlineLvl w:val="1"/>
      </w:pPr>
      <w:r>
        <w:rPr>
          <w:rFonts w:ascii="Calibri" w:hAnsi="Calibri"/>
          <w:b/>
          <w:i w:val="0"/>
          <w:color w:val="C9641D"/>
          <w:sz w:val="21"/>
        </w:rPr>
        <w:t xml:space="preserve">7.3 </w:t>
      </w:r>
      <w:r>
        <w:rPr>
          <w:rFonts w:ascii="Calibri" w:hAnsi="Calibri"/>
          <w:b/>
          <w:i w:val="0"/>
          <w:color w:val="000000"/>
          <w:sz w:val="21"/>
        </w:rPr>
        <w:t>Fase 3. Autorización de salida</w:t>
      </w:r>
    </w:p>
    <w:p>
      <w:pPr>
        <w:keepNext/>
        <w:tabs>
          <w:tab w:pos="907" w:val="left"/>
        </w:tabs>
        <w:spacing w:after="40"/>
        <w:ind w:left="907" w:hanging="680"/>
      </w:pPr>
      <w:r>
        <w:rPr>
          <w:rFonts w:ascii="Calibri" w:hAnsi="Calibri"/>
          <w:b/>
          <w:i w:val="0"/>
          <w:color w:val="C9641D"/>
          <w:sz w:val="20"/>
        </w:rPr>
        <w:t>7.3.1</w:t>
        <w:tab/>
      </w:r>
      <w:r>
        <w:rPr>
          <w:rFonts w:ascii="Calibri" w:hAnsi="Calibri"/>
          <w:b/>
          <w:i w:val="0"/>
          <w:color w:val="000000"/>
          <w:sz w:val="20"/>
        </w:rPr>
        <w:t xml:space="preserve">Confirmar el checklist de salida. </w:t>
      </w:r>
      <w:r>
        <w:rPr>
          <w:rFonts w:ascii="Calibri" w:hAnsi="Calibri"/>
          <w:b w:val="0"/>
          <w:i w:val="0"/>
          <w:color w:val="1C242E"/>
          <w:sz w:val="20"/>
        </w:rPr>
        <w:t>Confirmar que la carga fue verificada contra el pedido, la cantidad es correcta por conteo físico, la calidad quedó verificada, los perecederos van en hielera, las rejas que salen están registradas y la unidad y la ruta están confirmadas.</w:t>
      </w:r>
    </w:p>
    <w:p>
      <w:pPr>
        <w:spacing w:after="100"/>
        <w:ind w:left="907"/>
      </w:pPr>
      <w:r>
        <w:rPr>
          <w:rFonts w:ascii="Calibri" w:hAnsi="Calibri"/>
          <w:b/>
          <w:i w:val="0"/>
          <w:color w:val="C9641D"/>
          <w:sz w:val="18"/>
        </w:rPr>
        <w:t xml:space="preserve">Control: </w:t>
      </w:r>
      <w:r>
        <w:rPr>
          <w:rFonts w:ascii="Calibri" w:hAnsi="Calibri"/>
          <w:b w:val="0"/>
          <w:i w:val="0"/>
          <w:color w:val="595959"/>
          <w:sz w:val="18"/>
        </w:rPr>
        <w:t>Carga verificada, cantidad y calidad correctas, hieleras, rejas, unidad y ruta confirmadas</w:t>
      </w:r>
    </w:p>
    <w:p>
      <w:pPr>
        <w:keepNext/>
        <w:tabs>
          <w:tab w:pos="907" w:val="left"/>
        </w:tabs>
        <w:spacing w:after="40"/>
        <w:ind w:left="907" w:hanging="680"/>
      </w:pPr>
      <w:r>
        <w:rPr>
          <w:rFonts w:ascii="Calibri" w:hAnsi="Calibri"/>
          <w:b/>
          <w:i w:val="0"/>
          <w:color w:val="C9641D"/>
          <w:sz w:val="20"/>
        </w:rPr>
        <w:t>7.3.2</w:t>
        <w:tab/>
      </w:r>
      <w:r>
        <w:rPr>
          <w:rFonts w:ascii="Calibri" w:hAnsi="Calibri"/>
          <w:b/>
          <w:i w:val="0"/>
          <w:color w:val="000000"/>
          <w:sz w:val="20"/>
        </w:rPr>
        <w:t xml:space="preserve">Autorizar la salida. </w:t>
      </w:r>
      <w:r>
        <w:rPr>
          <w:rFonts w:ascii="Calibri" w:hAnsi="Calibri"/>
          <w:b w:val="0"/>
          <w:i w:val="0"/>
          <w:color w:val="1C242E"/>
          <w:sz w:val="20"/>
        </w:rPr>
        <w:t>Autorizar la salida con la firma de la Coordinación de Logística. Ninguna unidad sale sin esta autorización.</w:t>
      </w:r>
    </w:p>
    <w:p>
      <w:pPr>
        <w:spacing w:after="100"/>
        <w:ind w:left="907"/>
      </w:pPr>
      <w:r>
        <w:rPr>
          <w:rFonts w:ascii="Calibri" w:hAnsi="Calibri"/>
          <w:b/>
          <w:i w:val="0"/>
          <w:color w:val="C9641D"/>
          <w:sz w:val="18"/>
        </w:rPr>
        <w:t xml:space="preserve">Control: </w:t>
      </w:r>
      <w:r>
        <w:rPr>
          <w:rFonts w:ascii="Calibri" w:hAnsi="Calibri"/>
          <w:b w:val="0"/>
          <w:i w:val="0"/>
          <w:color w:val="595959"/>
          <w:sz w:val="18"/>
        </w:rPr>
        <w:t>Nada sale sin checar y sin autorizar</w:t>
      </w:r>
    </w:p>
    <w:p>
      <w:pPr>
        <w:keepNext/>
        <w:tabs>
          <w:tab w:pos="907" w:val="left"/>
        </w:tabs>
        <w:spacing w:after="40"/>
        <w:ind w:left="907" w:hanging="680"/>
      </w:pPr>
      <w:r>
        <w:rPr>
          <w:rFonts w:ascii="Calibri" w:hAnsi="Calibri"/>
          <w:b/>
          <w:i w:val="0"/>
          <w:color w:val="C9641D"/>
          <w:sz w:val="20"/>
        </w:rPr>
        <w:t>7.3.3</w:t>
        <w:tab/>
      </w:r>
      <w:r>
        <w:rPr>
          <w:rFonts w:ascii="Calibri" w:hAnsi="Calibri"/>
          <w:b/>
          <w:i w:val="0"/>
          <w:color w:val="000000"/>
          <w:sz w:val="20"/>
        </w:rPr>
        <w:t xml:space="preserve">Entregar la carga y la remisión al chofer. </w:t>
      </w:r>
      <w:r>
        <w:rPr>
          <w:rFonts w:ascii="Calibri" w:hAnsi="Calibri"/>
          <w:b w:val="0"/>
          <w:i w:val="0"/>
          <w:color w:val="1C242E"/>
          <w:sz w:val="20"/>
        </w:rPr>
        <w:t>Entregar la carga autorizada y la remisión al chofer para su salida a ruta (continúa en PRO-LR-04).</w:t>
      </w:r>
    </w:p>
    <w:p>
      <w:pPr>
        <w:spacing w:after="100"/>
        <w:ind w:left="907"/>
      </w:pPr>
      <w:r>
        <w:rPr>
          <w:rFonts w:ascii="Calibri" w:hAnsi="Calibri"/>
          <w:b/>
          <w:i w:val="0"/>
          <w:color w:val="C9641D"/>
          <w:sz w:val="18"/>
        </w:rPr>
        <w:t xml:space="preserve">Interfaz: </w:t>
      </w:r>
      <w:r>
        <w:rPr>
          <w:rFonts w:ascii="Calibri" w:hAnsi="Calibri"/>
          <w:b w:val="0"/>
          <w:i w:val="0"/>
          <w:color w:val="595959"/>
          <w:sz w:val="18"/>
        </w:rPr>
        <w:t>Handoff a PRO-LR-04 Ruta en Marcha, Entregas y Evidencia</w:t>
      </w:r>
    </w:p>
    <w:p>
      <w:pPr>
        <w:keepNext/>
        <w:spacing w:before="200" w:after="80"/>
        <w:outlineLvl w:val="1"/>
      </w:pPr>
      <w:r>
        <w:rPr>
          <w:rFonts w:ascii="Calibri" w:hAnsi="Calibri"/>
          <w:b/>
          <w:i w:val="0"/>
          <w:color w:val="C9641D"/>
          <w:sz w:val="21"/>
        </w:rPr>
        <w:t xml:space="preserve">7.4 </w:t>
      </w:r>
      <w:r>
        <w:rPr>
          <w:rFonts w:ascii="Calibri" w:hAnsi="Calibri"/>
          <w:b/>
          <w:i w:val="0"/>
          <w:color w:val="000000"/>
          <w:sz w:val="21"/>
        </w:rPr>
        <w:t>Fase 4. Cotejo al regreso y cierre</w:t>
      </w:r>
    </w:p>
    <w:p>
      <w:pPr>
        <w:tabs>
          <w:tab w:pos="907" w:val="left"/>
        </w:tabs>
        <w:spacing w:after="100"/>
        <w:ind w:left="907" w:hanging="680"/>
      </w:pPr>
      <w:r>
        <w:rPr>
          <w:rFonts w:ascii="Calibri" w:hAnsi="Calibri"/>
          <w:b/>
          <w:i w:val="0"/>
          <w:color w:val="C9641D"/>
          <w:sz w:val="20"/>
        </w:rPr>
        <w:t>7.4.1</w:t>
        <w:tab/>
      </w:r>
      <w:r>
        <w:rPr>
          <w:rFonts w:ascii="Calibri" w:hAnsi="Calibri"/>
          <w:b/>
          <w:i w:val="0"/>
          <w:color w:val="000000"/>
          <w:sz w:val="20"/>
        </w:rPr>
        <w:t xml:space="preserve">Recibir la evidencia y las devoluciones del regreso. </w:t>
      </w:r>
      <w:r>
        <w:rPr>
          <w:rFonts w:ascii="Calibri" w:hAnsi="Calibri"/>
          <w:b w:val="0"/>
          <w:i w:val="0"/>
          <w:color w:val="1C242E"/>
          <w:sz w:val="20"/>
        </w:rPr>
        <w:t>Recibir del chofer las remisiones firmadas y selladas, las devoluciones y los sobrantes al regreso de la ruta.</w:t>
      </w:r>
    </w:p>
    <w:p>
      <w:pPr>
        <w:keepNext/>
        <w:tabs>
          <w:tab w:pos="907" w:val="left"/>
        </w:tabs>
        <w:spacing w:after="40"/>
        <w:ind w:left="907" w:hanging="680"/>
      </w:pPr>
      <w:r>
        <w:rPr>
          <w:rFonts w:ascii="Calibri" w:hAnsi="Calibri"/>
          <w:b/>
          <w:i w:val="0"/>
          <w:color w:val="C9641D"/>
          <w:sz w:val="20"/>
        </w:rPr>
        <w:t>7.4.2</w:t>
        <w:tab/>
      </w:r>
      <w:r>
        <w:rPr>
          <w:rFonts w:ascii="Calibri" w:hAnsi="Calibri"/>
          <w:b/>
          <w:i w:val="0"/>
          <w:color w:val="000000"/>
          <w:sz w:val="20"/>
        </w:rPr>
        <w:t xml:space="preserve">Registrar las rejas que regresan. </w:t>
      </w:r>
      <w:r>
        <w:rPr>
          <w:rFonts w:ascii="Calibri" w:hAnsi="Calibri"/>
          <w:b w:val="0"/>
          <w:i w:val="0"/>
          <w:color w:val="1C242E"/>
          <w:sz w:val="20"/>
        </w:rPr>
        <w:t>Registrar en el Control de Cargas las rejas que regresan contra las que salieron y reportar las que el cliente no entregó.</w:t>
      </w:r>
    </w:p>
    <w:p>
      <w:pPr>
        <w:spacing w:after="100"/>
        <w:ind w:left="907"/>
      </w:pPr>
      <w:r>
        <w:rPr>
          <w:rFonts w:ascii="Calibri" w:hAnsi="Calibri"/>
          <w:b/>
          <w:i w:val="0"/>
          <w:color w:val="C9641D"/>
          <w:sz w:val="18"/>
        </w:rPr>
        <w:t xml:space="preserve">Formato: </w:t>
      </w:r>
      <w:r>
        <w:rPr>
          <w:rFonts w:ascii="Calibri" w:hAnsi="Calibri"/>
          <w:b w:val="0"/>
          <w:i w:val="0"/>
          <w:color w:val="595959"/>
          <w:sz w:val="18"/>
        </w:rPr>
        <w:t>FOR-LR-02 Control de Cargas y Salida (rejas que salen y regresan)</w:t>
      </w:r>
    </w:p>
    <w:p>
      <w:pPr>
        <w:keepNext/>
        <w:tabs>
          <w:tab w:pos="907" w:val="left"/>
        </w:tabs>
        <w:spacing w:after="40"/>
        <w:ind w:left="907" w:hanging="680"/>
      </w:pPr>
      <w:r>
        <w:rPr>
          <w:rFonts w:ascii="Calibri" w:hAnsi="Calibri"/>
          <w:b/>
          <w:i w:val="0"/>
          <w:color w:val="C9641D"/>
          <w:sz w:val="20"/>
        </w:rPr>
        <w:t>7.4.3</w:t>
        <w:tab/>
      </w:r>
      <w:r>
        <w:rPr>
          <w:rFonts w:ascii="Calibri" w:hAnsi="Calibri"/>
          <w:b/>
          <w:i w:val="0"/>
          <w:color w:val="000000"/>
          <w:sz w:val="20"/>
        </w:rPr>
        <w:t xml:space="preserve">Cotejar cargado contra entregado y devuelto. </w:t>
      </w:r>
      <w:r>
        <w:rPr>
          <w:rFonts w:ascii="Calibri" w:hAnsi="Calibri"/>
          <w:b w:val="0"/>
          <w:i w:val="0"/>
          <w:color w:val="1C242E"/>
          <w:sz w:val="20"/>
        </w:rPr>
        <w:t>Cotejar en el Control de Cargas lo cargado contra lo entregado y lo devuelto o sobrante, e identificar diferencias o faltantes.</w:t>
      </w:r>
    </w:p>
    <w:p>
      <w:pPr>
        <w:spacing w:after="100"/>
        <w:ind w:left="907"/>
      </w:pPr>
      <w:r>
        <w:rPr>
          <w:rFonts w:ascii="Calibri" w:hAnsi="Calibri"/>
          <w:b/>
          <w:i w:val="0"/>
          <w:color w:val="C9641D"/>
          <w:sz w:val="18"/>
        </w:rPr>
        <w:t xml:space="preserve">Formato: </w:t>
      </w:r>
      <w:r>
        <w:rPr>
          <w:rFonts w:ascii="Calibri" w:hAnsi="Calibri"/>
          <w:b w:val="0"/>
          <w:i w:val="0"/>
          <w:color w:val="595959"/>
          <w:sz w:val="18"/>
        </w:rPr>
        <w:t>FOR-LR-02 Control de Cargas y Salida</w:t>
      </w:r>
    </w:p>
    <w:p>
      <w:pPr>
        <w:keepNext/>
        <w:tabs>
          <w:tab w:pos="907" w:val="left"/>
        </w:tabs>
        <w:spacing w:after="40"/>
        <w:ind w:left="907" w:hanging="680"/>
      </w:pPr>
      <w:r>
        <w:rPr>
          <w:rFonts w:ascii="Calibri" w:hAnsi="Calibri"/>
          <w:b/>
          <w:i w:val="0"/>
          <w:color w:val="C9641D"/>
          <w:sz w:val="20"/>
        </w:rPr>
        <w:t>7.4.4</w:t>
        <w:tab/>
      </w:r>
      <w:r>
        <w:rPr>
          <w:rFonts w:ascii="Calibri" w:hAnsi="Calibri"/>
          <w:b/>
          <w:i w:val="0"/>
          <w:color w:val="000000"/>
          <w:sz w:val="20"/>
        </w:rPr>
        <w:t xml:space="preserve">Registrar las devoluciones en ruta. </w:t>
      </w:r>
      <w:r>
        <w:rPr>
          <w:rFonts w:ascii="Calibri" w:hAnsi="Calibri"/>
          <w:b w:val="0"/>
          <w:i w:val="0"/>
          <w:color w:val="1C242E"/>
          <w:sz w:val="20"/>
        </w:rPr>
        <w:t>Registrar las devoluciones detectadas en ruta en el Formato de Incidencias y conciliarlas contra el Control de Cargas.</w:t>
      </w:r>
    </w:p>
    <w:p>
      <w:pPr>
        <w:spacing w:after="100"/>
        <w:ind w:left="907"/>
      </w:pPr>
      <w:r>
        <w:rPr>
          <w:rFonts w:ascii="Calibri" w:hAnsi="Calibri"/>
          <w:b/>
          <w:i w:val="0"/>
          <w:color w:val="C9641D"/>
          <w:sz w:val="18"/>
        </w:rPr>
        <w:t xml:space="preserve">Formato: </w:t>
      </w:r>
      <w:r>
        <w:rPr>
          <w:rFonts w:ascii="Calibri" w:hAnsi="Calibri"/>
          <w:b w:val="0"/>
          <w:i w:val="0"/>
          <w:color w:val="595959"/>
          <w:sz w:val="18"/>
        </w:rPr>
        <w:t>FOR-RC-02 Formato de Incidencias / Devoluciones</w:t>
      </w:r>
    </w:p>
    <w:p>
      <w:pPr>
        <w:keepNext/>
        <w:tabs>
          <w:tab w:pos="907" w:val="left"/>
        </w:tabs>
        <w:spacing w:after="40"/>
        <w:ind w:left="907" w:hanging="680"/>
      </w:pPr>
      <w:r>
        <w:rPr>
          <w:rFonts w:ascii="Calibri" w:hAnsi="Calibri"/>
          <w:b/>
          <w:i w:val="0"/>
          <w:color w:val="C9641D"/>
          <w:sz w:val="20"/>
        </w:rPr>
        <w:t>7.4.5</w:t>
        <w:tab/>
      </w:r>
      <w:r>
        <w:rPr>
          <w:rFonts w:ascii="Calibri" w:hAnsi="Calibri"/>
          <w:b/>
          <w:i w:val="0"/>
          <w:color w:val="000000"/>
          <w:sz w:val="20"/>
        </w:rPr>
        <w:t xml:space="preserve">Cerrar el folio y reportar diferencias. </w:t>
      </w:r>
      <w:r>
        <w:rPr>
          <w:rFonts w:ascii="Calibri" w:hAnsi="Calibri"/>
          <w:b w:val="0"/>
          <w:i w:val="0"/>
          <w:color w:val="1C242E"/>
          <w:sz w:val="20"/>
        </w:rPr>
        <w:t>Cerrar el folio del Control de Cargas y reportar las diferencias o faltantes a la Coordinación de Logística y a Dirección General. Logística no modifica remisiones ni registros en sistema: las correcciones por devolución las realiza Finanzas con el FOR-RC-02 y la remisión anotada.</w:t>
      </w:r>
    </w:p>
    <w:p>
      <w:pPr>
        <w:spacing w:after="100"/>
        <w:ind w:left="907"/>
      </w:pPr>
      <w:r>
        <w:rPr>
          <w:rFonts w:ascii="Calibri" w:hAnsi="Calibri"/>
          <w:b/>
          <w:i w:val="0"/>
          <w:color w:val="C9641D"/>
          <w:sz w:val="18"/>
        </w:rPr>
        <w:t xml:space="preserve">Control: </w:t>
      </w:r>
      <w:r>
        <w:rPr>
          <w:rFonts w:ascii="Calibri" w:hAnsi="Calibri"/>
          <w:b w:val="0"/>
          <w:i w:val="0"/>
          <w:color w:val="595959"/>
          <w:sz w:val="18"/>
        </w:rPr>
        <w:t>Reporte de diferencias y faltantes del cotejo de regreso</w:t>
      </w:r>
    </w:p>
    <w:p>
      <w:pPr>
        <w:spacing w:after="0"/>
      </w:pPr>
      <w:r>
        <w:br w:type="page"/>
      </w:r>
    </w:p>
    <w:p>
      <w:pPr>
        <w:keepNext/>
        <w:pBdr>
          <w:bottom w:val="single" w:sz="8" w:space="1" w:color="FB803A"/>
        </w:pBdr>
        <w:spacing w:before="240" w:after="100"/>
        <w:outlineLvl w:val="0"/>
      </w:pPr>
      <w:r>
        <w:rPr>
          <w:rFonts w:ascii="Georgia" w:hAnsi="Georgia"/>
          <w:b/>
          <w:i w:val="0"/>
          <w:color w:val="000000"/>
          <w:sz w:val="22"/>
        </w:rPr>
        <w:t>8. DIAGRAMA DE FLUJO</w:t>
      </w:r>
    </w:p>
    <w:p>
      <w:pPr>
        <w:keepNext/>
        <w:spacing w:after="80"/>
        <w:jc w:val="center"/>
      </w:pPr>
      <w:r>
        <w:rPr>
          <w:rFonts w:ascii="Calibri" w:hAnsi="Calibri"/>
          <w:b/>
          <w:i w:val="0"/>
          <w:color w:val="000000"/>
          <w:sz w:val="22"/>
        </w:rPr>
        <w:t>Flujo de Preparación, Verificación y Control de Salida de Cargas</w:t>
      </w:r>
    </w:p>
    <w:p>
      <w:pPr>
        <w:keepNext/>
        <w:jc w:val="center"/>
      </w:pPr>
      <w:r>
        <w:drawing>
          <wp:inline xmlns:a="http://schemas.openxmlformats.org/drawingml/2006/main" xmlns:pic="http://schemas.openxmlformats.org/drawingml/2006/picture">
            <wp:extent cx="2287763" cy="6480000"/>
            <wp:docPr id="1" name="Picture 1"/>
            <wp:cNvGraphicFramePr>
              <a:graphicFrameLocks noChangeAspect="1"/>
            </wp:cNvGraphicFramePr>
            <a:graphic>
              <a:graphicData uri="http://schemas.openxmlformats.org/drawingml/2006/picture">
                <pic:pic>
                  <pic:nvPicPr>
                    <pic:cNvPr id="0" name="control-salida-cargas.png"/>
                    <pic:cNvPicPr/>
                  </pic:nvPicPr>
                  <pic:blipFill>
                    <a:blip r:embed="rId11"/>
                    <a:stretch>
                      <a:fillRect/>
                    </a:stretch>
                  </pic:blipFill>
                  <pic:spPr>
                    <a:xfrm>
                      <a:off x="0" y="0"/>
                      <a:ext cx="2287763" cy="6480000"/>
                    </a:xfrm>
                    <a:prstGeom prst="rect"/>
                  </pic:spPr>
                </pic:pic>
              </a:graphicData>
            </a:graphic>
          </wp:inline>
        </w:drawing>
      </w:r>
    </w:p>
    <w:p>
      <w:pPr>
        <w:spacing w:after="120"/>
        <w:jc w:val="center"/>
      </w:pPr>
      <w:r>
        <w:rPr>
          <w:rFonts w:ascii="Calibri" w:hAnsi="Calibri"/>
          <w:b w:val="0"/>
          <w:i/>
          <w:color w:val="595959"/>
          <w:sz w:val="17"/>
        </w:rPr>
        <w:t>De la carga armada en Almacén al cotejo de regreso y cierre del folio.</w:t>
      </w:r>
    </w:p>
    <w:p>
      <w:pPr>
        <w:keepNext/>
        <w:pBdr>
          <w:bottom w:val="single" w:sz="8" w:space="1" w:color="FB803A"/>
        </w:pBdr>
        <w:spacing w:before="240" w:after="100"/>
        <w:outlineLvl w:val="0"/>
      </w:pPr>
      <w:r>
        <w:rPr>
          <w:rFonts w:ascii="Georgia" w:hAnsi="Georgia"/>
          <w:b/>
          <w:i w:val="0"/>
          <w:color w:val="000000"/>
          <w:sz w:val="22"/>
        </w:rPr>
        <w:t>9. NOTA IMPORTANTE</w:t>
      </w:r>
    </w:p>
    <w:tbl>
      <w:tblPr>
        <w:tblW w:type="auto" w:w="0"/>
        <w:jc w:val="center"/>
        <w:tblBorders>
          <w:left w:val="single" w:sz="24" w:color="FB803A"/>
        </w:tblBorders>
        <w:tblLayout w:type="fixed"/>
        <w:tblCellMar>
          <w:top w:w="60" w:type="dxa"/>
          <w:left w:w="160" w:type="dxa"/>
          <w:bottom w:w="60" w:type="dxa"/>
          <w:right w:w="160" w:type="dxa"/>
        </w:tblCellMar>
        <w:tblLook w:firstColumn="1" w:firstRow="1" w:lastColumn="0" w:lastRow="0" w:noHBand="0" w:noVBand="1" w:val="04A0"/>
      </w:tblPr>
      <w:tblGrid>
        <w:gridCol w:w="10200"/>
      </w:tblGrid>
      <w:tr>
        <w:trPr>
          <w:cantSplit w:val="true"/>
        </w:trPr>
        <w:tc>
          <w:tcPr>
            <w:tcW w:type="dxa" w:w="10200"/>
            <w:shd w:val="clear" w:color="auto" w:fill="FFF1E8"/>
          </w:tcPr>
          <w:p>
            <w:pPr>
              <w:spacing w:before="60" w:after="60"/>
            </w:pPr>
            <w:r/>
            <w:r>
              <w:rPr>
                <w:rFonts w:ascii="Calibri" w:hAnsi="Calibri"/>
                <w:b/>
                <w:i w:val="0"/>
                <w:color w:val="C9641D"/>
                <w:sz w:val="19"/>
              </w:rPr>
              <w:t xml:space="preserve">Importante: </w:t>
            </w:r>
            <w:r>
              <w:rPr>
                <w:rFonts w:ascii="Calibri" w:hAnsi="Calibri"/>
                <w:b w:val="0"/>
                <w:i w:val="0"/>
                <w:color w:val="1C242E"/>
                <w:sz w:val="19"/>
              </w:rPr>
              <w:t>Nada sale sin estar verificado y autorizado. El cotejo de la salida contra lo entregado y lo que regresa es el control anti robo hormiga solicitado por Dirección. La cadena de frío es parte esencial del traslado: los perecederos viajan en hielera siempre y su uso se supervisa. El armado de la carga y el inventario son de Almacén y no se documentan aquí.</w:t>
            </w:r>
          </w:p>
        </w:tc>
      </w:tr>
    </w:tbl>
    <w:p>
      <w:pPr>
        <w:keepNext/>
        <w:pBdr>
          <w:bottom w:val="single" w:sz="8" w:space="1" w:color="FB803A"/>
        </w:pBdr>
        <w:spacing w:before="240" w:after="100"/>
        <w:outlineLvl w:val="0"/>
      </w:pPr>
      <w:r>
        <w:rPr>
          <w:rFonts w:ascii="Georgia" w:hAnsi="Georgia"/>
          <w:b/>
          <w:i w:val="0"/>
          <w:color w:val="000000"/>
          <w:sz w:val="22"/>
        </w:rPr>
        <w:t>10. CONTROL DE CAMBIOS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1122"/>
        <w:gridCol w:w="1530"/>
        <w:gridCol w:w="5712"/>
        <w:gridCol w:w="1836"/>
      </w:tblGrid>
      <w:tr>
        <w:trPr>
          <w:tblHeader w:val="true"/>
        </w:trPr>
        <w:tc>
          <w:tcPr>
            <w:tcW w:type="dxa" w:w="1122"/>
            <w:shd w:val="clear" w:color="auto" w:fill="000000"/>
          </w:tcPr>
          <w:p>
            <w:pPr>
              <w:spacing w:after="0"/>
              <w:jc w:val="center"/>
            </w:pPr>
            <w:r/>
            <w:r>
              <w:rPr>
                <w:rFonts w:ascii="Calibri" w:hAnsi="Calibri"/>
                <w:b/>
                <w:i w:val="0"/>
                <w:color w:val="FFFFFF"/>
                <w:sz w:val="17"/>
              </w:rPr>
              <w:t>Versión</w:t>
            </w:r>
          </w:p>
        </w:tc>
        <w:tc>
          <w:tcPr>
            <w:tcW w:type="dxa" w:w="1530"/>
            <w:shd w:val="clear" w:color="auto" w:fill="000000"/>
          </w:tcPr>
          <w:p>
            <w:pPr>
              <w:spacing w:after="0"/>
              <w:jc w:val="center"/>
            </w:pPr>
            <w:r/>
            <w:r>
              <w:rPr>
                <w:rFonts w:ascii="Calibri" w:hAnsi="Calibri"/>
                <w:b/>
                <w:i w:val="0"/>
                <w:color w:val="FFFFFF"/>
                <w:sz w:val="17"/>
              </w:rPr>
              <w:t>Fecha</w:t>
            </w:r>
          </w:p>
        </w:tc>
        <w:tc>
          <w:tcPr>
            <w:tcW w:type="dxa" w:w="5712"/>
            <w:shd w:val="clear" w:color="auto" w:fill="000000"/>
          </w:tcPr>
          <w:p>
            <w:pPr>
              <w:spacing w:after="0"/>
              <w:jc w:val="center"/>
            </w:pPr>
            <w:r/>
            <w:r>
              <w:rPr>
                <w:rFonts w:ascii="Calibri" w:hAnsi="Calibri"/>
                <w:b/>
                <w:i w:val="0"/>
                <w:color w:val="FFFFFF"/>
                <w:sz w:val="17"/>
              </w:rPr>
              <w:t>Descripción del cambio</w:t>
            </w:r>
          </w:p>
        </w:tc>
        <w:tc>
          <w:tcPr>
            <w:tcW w:type="dxa" w:w="1836"/>
            <w:shd w:val="clear" w:color="auto" w:fill="000000"/>
          </w:tcPr>
          <w:p>
            <w:pPr>
              <w:spacing w:after="0"/>
              <w:jc w:val="center"/>
            </w:pPr>
            <w:r/>
            <w:r>
              <w:rPr>
                <w:rFonts w:ascii="Calibri" w:hAnsi="Calibri"/>
                <w:b/>
                <w:i w:val="0"/>
                <w:color w:val="FFFFFF"/>
                <w:sz w:val="17"/>
              </w:rPr>
              <w:t>Elaboró</w:t>
            </w:r>
          </w:p>
        </w:tc>
      </w:tr>
      <w:tr>
        <w:trPr>
          <w:cantSplit w:val="true"/>
        </w:trPr>
        <w:tc>
          <w:tcPr>
            <w:tcW w:type="dxa" w:w="1122"/>
          </w:tcPr>
          <w:p>
            <w:pPr>
              <w:spacing w:after="0"/>
            </w:pPr>
            <w:r/>
            <w:r>
              <w:rPr>
                <w:rFonts w:ascii="Calibri" w:hAnsi="Calibri"/>
                <w:b w:val="0"/>
                <w:i w:val="0"/>
                <w:color w:val="1C242E"/>
                <w:sz w:val="19"/>
              </w:rPr>
              <w:t>1.0</w:t>
            </w:r>
          </w:p>
        </w:tc>
        <w:tc>
          <w:tcPr>
            <w:tcW w:type="dxa" w:w="1530"/>
          </w:tcPr>
          <w:p>
            <w:pPr>
              <w:spacing w:after="0"/>
            </w:pPr>
            <w:r/>
            <w:r>
              <w:rPr>
                <w:rFonts w:ascii="Calibri" w:hAnsi="Calibri"/>
                <w:b w:val="0"/>
                <w:i w:val="0"/>
                <w:color w:val="1C242E"/>
                <w:sz w:val="19"/>
              </w:rPr>
              <w:t>Septiembre 2026</w:t>
            </w:r>
          </w:p>
        </w:tc>
        <w:tc>
          <w:tcPr>
            <w:tcW w:type="dxa" w:w="5712"/>
          </w:tcPr>
          <w:p>
            <w:pPr>
              <w:spacing w:after="0"/>
            </w:pPr>
            <w:r/>
            <w:r>
              <w:rPr>
                <w:rFonts w:ascii="Calibri" w:hAnsi="Calibri"/>
                <w:b w:val="0"/>
                <w:i w:val="0"/>
                <w:color w:val="1C242E"/>
                <w:sz w:val="19"/>
              </w:rPr>
              <w:t>Emisión inicial a partir del levantamiento del proceso operativo.</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1.1</w:t>
            </w:r>
          </w:p>
        </w:tc>
        <w:tc>
          <w:tcPr>
            <w:tcW w:type="dxa" w:w="1530"/>
          </w:tcPr>
          <w:p>
            <w:pPr>
              <w:spacing w:after="0"/>
            </w:pPr>
            <w:r/>
            <w:r>
              <w:rPr>
                <w:rFonts w:ascii="Calibri" w:hAnsi="Calibri"/>
                <w:b w:val="0"/>
                <w:i w:val="0"/>
                <w:color w:val="1C242E"/>
                <w:sz w:val="19"/>
              </w:rPr>
              <w:t>12-10-2026</w:t>
            </w:r>
          </w:p>
        </w:tc>
        <w:tc>
          <w:tcPr>
            <w:tcW w:type="dxa" w:w="5712"/>
          </w:tcPr>
          <w:p>
            <w:pPr>
              <w:spacing w:after="0"/>
            </w:pPr>
            <w:r/>
            <w:r>
              <w:rPr>
                <w:rFonts w:ascii="Calibri" w:hAnsi="Calibri"/>
                <w:b w:val="0"/>
                <w:i w:val="0"/>
                <w:color w:val="1C242E"/>
                <w:sz w:val="19"/>
              </w:rPr>
              <w:t>Se incorpora la cadena de frío en hielera como paso esencial y el registro de rejas que salen y regresan; se precisa la interfaz con la verificación final de Almacén (PRO-ALM-04).</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1.2</w:t>
            </w:r>
          </w:p>
        </w:tc>
        <w:tc>
          <w:tcPr>
            <w:tcW w:type="dxa" w:w="1530"/>
          </w:tcPr>
          <w:p>
            <w:pPr>
              <w:spacing w:after="0"/>
            </w:pPr>
            <w:r/>
            <w:r>
              <w:rPr>
                <w:rFonts w:ascii="Calibri" w:hAnsi="Calibri"/>
                <w:b w:val="0"/>
                <w:i w:val="0"/>
                <w:color w:val="1C242E"/>
                <w:sz w:val="19"/>
              </w:rPr>
              <w:t>20-10-2026</w:t>
            </w:r>
          </w:p>
        </w:tc>
        <w:tc>
          <w:tcPr>
            <w:tcW w:type="dxa" w:w="5712"/>
          </w:tcPr>
          <w:p>
            <w:pPr>
              <w:spacing w:after="0"/>
            </w:pPr>
            <w:r/>
            <w:r>
              <w:rPr>
                <w:rFonts w:ascii="Calibri" w:hAnsi="Calibri"/>
                <w:b w:val="0"/>
                <w:i w:val="0"/>
                <w:color w:val="1C242E"/>
                <w:sz w:val="19"/>
              </w:rPr>
              <w:t>Al cerrar el folio, Logística documenta y coteja las devoluciones de cliente; las correcciones de remisión y sistema las realiza Finanzas.</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1.3</w:t>
            </w:r>
          </w:p>
        </w:tc>
        <w:tc>
          <w:tcPr>
            <w:tcW w:type="dxa" w:w="1530"/>
          </w:tcPr>
          <w:p>
            <w:pPr>
              <w:spacing w:after="0"/>
            </w:pPr>
            <w:r/>
            <w:r>
              <w:rPr>
                <w:rFonts w:ascii="Calibri" w:hAnsi="Calibri"/>
                <w:b w:val="0"/>
                <w:i w:val="0"/>
                <w:color w:val="1C242E"/>
                <w:sz w:val="19"/>
              </w:rPr>
              <w:t>22-10-2026</w:t>
            </w:r>
          </w:p>
        </w:tc>
        <w:tc>
          <w:tcPr>
            <w:tcW w:type="dxa" w:w="5712"/>
          </w:tcPr>
          <w:p>
            <w:pPr>
              <w:spacing w:after="0"/>
            </w:pPr>
            <w:r/>
            <w:r>
              <w:rPr>
                <w:rFonts w:ascii="Calibri" w:hAnsi="Calibri"/>
                <w:b w:val="0"/>
                <w:i w:val="0"/>
                <w:color w:val="1C242E"/>
                <w:sz w:val="19"/>
              </w:rPr>
              <w:t>Se unifica el nombre del rol como Coordinación de Logística, igual que en PRO-LR-05 y PRO-LR-07. Sin cambios de proceso.</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1.4</w:t>
            </w:r>
          </w:p>
        </w:tc>
        <w:tc>
          <w:tcPr>
            <w:tcW w:type="dxa" w:w="1530"/>
          </w:tcPr>
          <w:p>
            <w:pPr>
              <w:spacing w:after="0"/>
            </w:pPr>
            <w:r/>
            <w:r>
              <w:rPr>
                <w:rFonts w:ascii="Calibri" w:hAnsi="Calibri"/>
                <w:b w:val="0"/>
                <w:i w:val="0"/>
                <w:color w:val="1C242E"/>
                <w:sz w:val="19"/>
              </w:rPr>
              <w:t>26-10-2026</w:t>
            </w:r>
          </w:p>
        </w:tc>
        <w:tc>
          <w:tcPr>
            <w:tcW w:type="dxa" w:w="5712"/>
          </w:tcPr>
          <w:p>
            <w:pPr>
              <w:spacing w:after="0"/>
            </w:pPr>
            <w:r/>
            <w:r>
              <w:rPr>
                <w:rFonts w:ascii="Calibri" w:hAnsi="Calibri"/>
                <w:b w:val="0"/>
                <w:i w:val="0"/>
                <w:color w:val="1C242E"/>
                <w:sz w:val="19"/>
              </w:rPr>
              <w:t>Respuestas de la Coordinación de Logística al paquete de revisión: la verificación de la carga contra la remisión la hace la Coordinación de Logística; las rejas que regresan son las mismas que salieron con la carga, no rejas del cliente; se reconoce la falta de hieleras y la Coordinación de Logística solicita las necesarias.</w:t>
            </w:r>
          </w:p>
        </w:tc>
        <w:tc>
          <w:tcPr>
            <w:tcW w:type="dxa" w:w="1836"/>
          </w:tcPr>
          <w:p>
            <w:pPr>
              <w:spacing w:after="0"/>
            </w:pPr>
            <w:r/>
            <w:r>
              <w:rPr>
                <w:rFonts w:ascii="Calibri" w:hAnsi="Calibri"/>
                <w:b w:val="0"/>
                <w:i w:val="0"/>
                <w:color w:val="1C242E"/>
                <w:sz w:val="19"/>
              </w:rPr>
              <w:t>DETA Consultores</w:t>
            </w:r>
          </w:p>
        </w:tc>
      </w:tr>
    </w:tbl>
    <w:p>
      <w:pPr>
        <w:keepNext/>
        <w:pBdr>
          <w:bottom w:val="single" w:sz="8" w:space="1" w:color="FB803A"/>
        </w:pBdr>
        <w:spacing w:before="240" w:after="100"/>
        <w:outlineLvl w:val="0"/>
      </w:pPr>
      <w:r>
        <w:rPr>
          <w:rFonts w:ascii="Georgia" w:hAnsi="Georgia"/>
          <w:b/>
          <w:i w:val="0"/>
          <w:color w:val="000000"/>
          <w:sz w:val="22"/>
        </w:rPr>
        <w:t>11. CONTROL DE FIRMAS</w:t>
      </w:r>
    </w:p>
    <w:p>
      <w:pPr>
        <w:keepNext/>
        <w:spacing w:after="80"/>
      </w:pP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400"/>
        <w:gridCol w:w="3400"/>
        <w:gridCol w:w="3400"/>
      </w:tblGrid>
      <w:tr>
        <w:trPr>
          <w:cantSplit w:val="true"/>
        </w:trPr>
        <w:tc>
          <w:tcPr>
            <w:tcW w:type="dxa" w:w="3400"/>
            <w:shd w:val="clear" w:color="auto" w:fill="000000"/>
          </w:tcPr>
          <w:p>
            <w:pPr>
              <w:keepNext/>
              <w:spacing w:after="0"/>
              <w:jc w:val="center"/>
            </w:pPr>
            <w:r/>
            <w:r>
              <w:rPr>
                <w:rFonts w:ascii="Calibri" w:hAnsi="Calibri"/>
                <w:b/>
                <w:i w:val="0"/>
                <w:color w:val="FFFFFF"/>
                <w:sz w:val="17"/>
              </w:rPr>
              <w:t>Elaboró</w:t>
            </w:r>
          </w:p>
        </w:tc>
        <w:tc>
          <w:tcPr>
            <w:tcW w:type="dxa" w:w="3400"/>
            <w:shd w:val="clear" w:color="auto" w:fill="000000"/>
          </w:tcPr>
          <w:p>
            <w:pPr>
              <w:keepNext/>
              <w:spacing w:after="0"/>
              <w:jc w:val="center"/>
            </w:pPr>
            <w:r/>
            <w:r>
              <w:rPr>
                <w:rFonts w:ascii="Calibri" w:hAnsi="Calibri"/>
                <w:b/>
                <w:i w:val="0"/>
                <w:color w:val="FFFFFF"/>
                <w:sz w:val="17"/>
              </w:rPr>
              <w:t>Revisó</w:t>
            </w:r>
          </w:p>
        </w:tc>
        <w:tc>
          <w:tcPr>
            <w:tcW w:type="dxa" w:w="3400"/>
            <w:shd w:val="clear" w:color="auto" w:fill="000000"/>
          </w:tcPr>
          <w:p>
            <w:pPr>
              <w:keepNext/>
              <w:spacing w:after="0"/>
              <w:jc w:val="center"/>
            </w:pPr>
            <w:r/>
            <w:r>
              <w:rPr>
                <w:rFonts w:ascii="Calibri" w:hAnsi="Calibri"/>
                <w:b/>
                <w:i w:val="0"/>
                <w:color w:val="FFFFFF"/>
                <w:sz w:val="17"/>
              </w:rPr>
              <w:t>Aprobó</w:t>
            </w:r>
          </w:p>
        </w:tc>
      </w:tr>
      <w:tr>
        <w:trPr>
          <w:cantSplit w:val="true"/>
        </w:trPr>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r>
      <w:tr>
        <w:trPr>
          <w:cantSplit w:val="true"/>
        </w:trPr>
        <w:tc>
          <w:tcPr>
            <w:tcW w:type="dxa" w:w="3400"/>
          </w:tcPr>
          <w:p>
            <w:pPr>
              <w:spacing w:after="0"/>
              <w:jc w:val="center"/>
            </w:pPr>
            <w:r/>
            <w:r>
              <w:rPr>
                <w:rFonts w:ascii="Calibri" w:hAnsi="Calibri"/>
                <w:b/>
                <w:i w:val="0"/>
                <w:color w:val="000000"/>
                <w:sz w:val="18"/>
              </w:rPr>
              <w:t>DETA Consultores</w:t>
            </w:r>
          </w:p>
        </w:tc>
        <w:tc>
          <w:tcPr>
            <w:tcW w:type="dxa" w:w="3400"/>
          </w:tcPr>
          <w:p>
            <w:pPr>
              <w:spacing w:after="0"/>
              <w:jc w:val="center"/>
            </w:pPr>
            <w:r/>
            <w:r>
              <w:rPr>
                <w:rFonts w:ascii="Calibri" w:hAnsi="Calibri"/>
                <w:b/>
                <w:i w:val="0"/>
                <w:color w:val="000000"/>
                <w:sz w:val="18"/>
              </w:rPr>
              <w:t>Coordinación de Logística</w:t>
            </w:r>
          </w:p>
        </w:tc>
        <w:tc>
          <w:tcPr>
            <w:tcW w:type="dxa" w:w="3400"/>
          </w:tcPr>
          <w:p>
            <w:pPr>
              <w:spacing w:after="0"/>
              <w:jc w:val="center"/>
            </w:pPr>
            <w:r/>
            <w:r>
              <w:rPr>
                <w:rFonts w:ascii="Calibri" w:hAnsi="Calibri"/>
                <w:b/>
                <w:i w:val="0"/>
                <w:color w:val="000000"/>
                <w:sz w:val="18"/>
              </w:rPr>
              <w:t>Dirección General</w:t>
            </w:r>
          </w:p>
        </w:tc>
      </w:tr>
    </w:tbl>
    <w:sectPr w:rsidR="00FC693F" w:rsidRPr="0006063C" w:rsidSect="00034616">
      <w:headerReference w:type="default" r:id="rId9"/>
      <w:footerReference w:type="default" r:id="rId10"/>
      <w:pgSz w:w="12240" w:h="15840"/>
      <w:pgMar w:top="2891" w:right="1020" w:bottom="1020" w:left="1020"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00" w:val="right"/>
      </w:tabs>
      <w:spacing w:after="0"/>
    </w:pPr>
    <w:r/>
    <w:r>
      <w:rPr>
        <w:rFonts w:ascii="Calibri" w:hAnsi="Calibri"/>
        <w:b w:val="0"/>
        <w:i w:val="0"/>
        <w:color w:val="595959"/>
        <w:sz w:val="15"/>
      </w:rPr>
      <w:t>Grupo DISAL | Procedimiento de Logística | PRO-LR-03 V1.4</w:t>
    </w:r>
    <w:r>
      <w:tab/>
    </w:r>
    <w:r>
      <w:rPr>
        <w:rFonts w:ascii="Calibri" w:hAnsi="Calibri"/>
        <w:b w:val="0"/>
        <w:i w:val="0"/>
        <w:color w:val="595959"/>
        <w:sz w:val="15"/>
      </w:rPr>
      <w:t xml:space="preserve">Elaboró DETA Consultores | 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595959"/>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Borders>
        <w:top w:val="single" w:sz="6" w:color="000000"/>
        <w:left w:val="single" w:sz="6" w:color="000000"/>
        <w:bottom w:val="single" w:sz="6" w:color="000000"/>
        <w:right w:val="single" w:sz="6" w:color="000000"/>
        <w:insideH w:val="single" w:sz="6" w:color="000000"/>
        <w:insideV w:val="single" w:sz="6" w:color="000000"/>
      </w:tblBorders>
      <w:tblLayout w:type="fixed"/>
      <w:tblCellMar>
        <w:top w:w="40" w:type="dxa"/>
        <w:bottom w:w="40" w:type="dxa"/>
        <w:left w:w="80" w:type="dxa"/>
        <w:right w:w="80" w:type="dxa"/>
      </w:tblCellMar>
      <w:tblLook w:firstColumn="1" w:firstRow="1" w:lastColumn="0" w:lastRow="0" w:noHBand="0" w:noVBand="1" w:val="04A0"/>
    </w:tblPr>
    <w:tblGrid>
      <w:gridCol w:w="2244"/>
      <w:gridCol w:w="4080"/>
      <w:gridCol w:w="1938"/>
      <w:gridCol w:w="1938"/>
    </w:tblGrid>
    <w:tr>
      <w:tc>
        <w:tcPr>
          <w:tcW w:type="dxa" w:w="2244"/>
          <w:vMerge w:val="restart"/>
        </w:tcPr>
        <w:p>
          <w:pPr>
            <w:jc w:val="center"/>
          </w:pPr>
          <w:r/>
          <w:r>
            <w:drawing>
              <wp:inline xmlns:a="http://schemas.openxmlformats.org/drawingml/2006/main" xmlns:pic="http://schemas.openxmlformats.org/drawingml/2006/picture">
                <wp:extent cx="1188000" cy="495118"/>
                <wp:docPr id="1" name="Picture 1"/>
                <wp:cNvGraphicFramePr>
                  <a:graphicFrameLocks noChangeAspect="1"/>
                </wp:cNvGraphicFramePr>
                <a:graphic>
                  <a:graphicData uri="http://schemas.openxmlformats.org/drawingml/2006/picture">
                    <pic:pic>
                      <pic:nvPicPr>
                        <pic:cNvPr id="0" name="disal-logo-principal.png"/>
                        <pic:cNvPicPr/>
                      </pic:nvPicPr>
                      <pic:blipFill>
                        <a:blip r:embed="rId1"/>
                        <a:stretch>
                          <a:fillRect/>
                        </a:stretch>
                      </pic:blipFill>
                      <pic:spPr>
                        <a:xfrm>
                          <a:off x="0" y="0"/>
                          <a:ext cx="1188000" cy="495118"/>
                        </a:xfrm>
                        <a:prstGeom prst="rect"/>
                      </pic:spPr>
                    </pic:pic>
                  </a:graphicData>
                </a:graphic>
              </wp:inline>
            </w:drawing>
          </w:r>
        </w:p>
      </w:tc>
      <w:tc>
        <w:tcPr>
          <w:tcW w:type="dxa" w:w="4080"/>
          <w:vMerge w:val="restart"/>
          <w:shd w:val="clear" w:color="auto" w:fill="F2F2F2"/>
        </w:tcPr>
        <w:p>
          <w:pPr>
            <w:spacing w:after="0"/>
            <w:jc w:val="center"/>
          </w:pPr>
          <w:r/>
          <w:r>
            <w:rPr>
              <w:rFonts w:ascii="Georgia" w:hAnsi="Georgia"/>
              <w:b/>
              <w:i w:val="0"/>
              <w:color w:val="000000"/>
              <w:sz w:val="24"/>
            </w:rPr>
            <w:t>Preparación, Verificación y Control de Salida de Cargas</w:t>
          </w:r>
        </w:p>
      </w:tc>
      <w:tc>
        <w:tcPr>
          <w:tcW w:type="dxa" w:w="1938"/>
        </w:tcPr>
        <w:p>
          <w:pPr>
            <w:spacing w:after="0"/>
          </w:pPr>
          <w:r/>
          <w:r>
            <w:rPr>
              <w:rFonts w:ascii="Calibri" w:hAnsi="Calibri"/>
              <w:b/>
              <w:i w:val="0"/>
              <w:color w:val="000000"/>
              <w:sz w:val="15"/>
            </w:rPr>
            <w:t xml:space="preserve">Código: </w:t>
          </w:r>
          <w:r>
            <w:rPr>
              <w:rFonts w:ascii="Calibri" w:hAnsi="Calibri"/>
              <w:b w:val="0"/>
              <w:i w:val="0"/>
              <w:color w:val="1C242E"/>
              <w:sz w:val="15"/>
            </w:rPr>
            <w:t>PRO-LR-03</w:t>
          </w:r>
        </w:p>
      </w:tc>
      <w:tc>
        <w:tcPr>
          <w:tcW w:type="dxa" w:w="1938"/>
        </w:tcPr>
        <w:p>
          <w:pPr>
            <w:spacing w:after="0"/>
          </w:pPr>
          <w:r/>
          <w:r>
            <w:rPr>
              <w:rFonts w:ascii="Calibri" w:hAnsi="Calibri"/>
              <w:b/>
              <w:i w:val="0"/>
              <w:color w:val="000000"/>
              <w:sz w:val="15"/>
            </w:rPr>
            <w:t xml:space="preserve">Versión: </w:t>
          </w:r>
          <w:r>
            <w:rPr>
              <w:rFonts w:ascii="Calibri" w:hAnsi="Calibri"/>
              <w:b w:val="0"/>
              <w:i w:val="0"/>
              <w:color w:val="1C242E"/>
              <w:sz w:val="15"/>
            </w:rPr>
            <w:t>1.4</w:t>
          </w:r>
        </w:p>
      </w:tc>
    </w:tr>
    <w:tr>
      <w:tc>
        <w:tcPr>
          <w:tcW w:type="dxa" w:w="2244"/>
          <w:vMerge/>
        </w:tcPr>
        <w:p/>
      </w:tc>
      <w:tc>
        <w:tcPr>
          <w:tcW w:type="dxa" w:w="4080"/>
          <w:vMerge/>
        </w:tcPr>
        <w:p/>
      </w:tc>
      <w:tc>
        <w:tcPr>
          <w:tcW w:type="dxa" w:w="1938"/>
        </w:tcPr>
        <w:p>
          <w:pPr>
            <w:spacing w:after="0"/>
          </w:pPr>
          <w:r/>
          <w:r>
            <w:rPr>
              <w:rFonts w:ascii="Calibri" w:hAnsi="Calibri"/>
              <w:b/>
              <w:i w:val="0"/>
              <w:color w:val="000000"/>
              <w:sz w:val="15"/>
            </w:rPr>
            <w:t xml:space="preserve">Emisión: </w:t>
          </w:r>
          <w:r>
            <w:rPr>
              <w:rFonts w:ascii="Calibri" w:hAnsi="Calibri"/>
              <w:b w:val="0"/>
              <w:i w:val="0"/>
              <w:color w:val="1C242E"/>
              <w:sz w:val="15"/>
            </w:rPr>
            <w:t>Septiembre 2026</w:t>
          </w:r>
        </w:p>
      </w:tc>
      <w:tc>
        <w:tcPr>
          <w:tcW w:type="dxa" w:w="1938"/>
        </w:tcPr>
        <w:p>
          <w:pPr>
            <w:spacing w:after="0"/>
          </w:pPr>
          <w:r/>
          <w:r>
            <w:rPr>
              <w:rFonts w:ascii="Calibri" w:hAnsi="Calibri"/>
              <w:b/>
              <w:i w:val="0"/>
              <w:color w:val="000000"/>
              <w:sz w:val="15"/>
            </w:rPr>
            <w:t xml:space="preserve">Revisión: </w:t>
          </w:r>
          <w:r>
            <w:rPr>
              <w:rFonts w:ascii="Calibri" w:hAnsi="Calibri"/>
              <w:b w:val="0"/>
              <w:i w:val="0"/>
              <w:color w:val="1C242E"/>
              <w:sz w:val="15"/>
            </w:rPr>
            <w:t>26-10-2026</w:t>
          </w:r>
        </w:p>
      </w:tc>
    </w:tr>
    <w:tr>
      <w:tc>
        <w:tcPr>
          <w:tcW w:type="dxa" w:w="2244"/>
          <w:vMerge/>
        </w:tcPr>
        <w:p/>
      </w:tc>
      <w:tc>
        <w:tcPr>
          <w:tcW w:type="dxa" w:w="4080"/>
        </w:tcPr>
        <w:p>
          <w:pPr>
            <w:spacing w:after="0"/>
            <w:jc w:val="center"/>
          </w:pPr>
          <w:r/>
          <w:r>
            <w:rPr>
              <w:rFonts w:ascii="Calibri" w:hAnsi="Calibri"/>
              <w:b/>
              <w:i w:val="0"/>
              <w:color w:val="C9641D"/>
              <w:sz w:val="16"/>
            </w:rPr>
            <w:t>Procedimiento de Logística</w:t>
          </w:r>
        </w:p>
      </w:tc>
      <w:tc>
        <w:tcPr>
          <w:tcW w:type="dxa" w:w="1938"/>
        </w:tcPr>
        <w:p>
          <w:pPr>
            <w:spacing w:after="0"/>
          </w:pPr>
          <w:r/>
          <w:r>
            <w:rPr>
              <w:rFonts w:ascii="Calibri" w:hAnsi="Calibri"/>
              <w:b/>
              <w:i w:val="0"/>
              <w:color w:val="000000"/>
              <w:sz w:val="15"/>
            </w:rPr>
            <w:t xml:space="preserve">Estado: </w:t>
          </w:r>
          <w:r>
            <w:rPr>
              <w:rFonts w:ascii="Calibri" w:hAnsi="Calibri"/>
              <w:b w:val="0"/>
              <w:i w:val="0"/>
              <w:color w:val="1C242E"/>
              <w:sz w:val="15"/>
            </w:rPr>
            <w:t>Borrador para validación</w:t>
          </w:r>
        </w:p>
      </w:tc>
      <w:tc>
        <w:tcPr>
          <w:tcW w:type="dxa" w:w="1938"/>
        </w:tcPr>
        <w:p>
          <w:pPr>
            <w:spacing w:after="0"/>
          </w:pPr>
          <w:r/>
          <w:r>
            <w:rPr>
              <w:rFonts w:ascii="Calibri" w:hAnsi="Calibri"/>
              <w:b/>
              <w:i w:val="0"/>
              <w:color w:val="000000"/>
              <w:sz w:val="15"/>
            </w:rPr>
            <w:t xml:space="preserve">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1C242E"/>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tc>
    </w:tr>
    <w:tr>
      <w:tc>
        <w:tcPr>
          <w:tcW w:type="dxa" w:w="2244"/>
          <w:vMerge/>
        </w:tcPr>
        <w:p/>
      </w:tc>
      <w:tc>
        <w:tcPr>
          <w:tcW w:type="dxa" w:w="4080"/>
        </w:tcPr>
        <w:p>
          <w:pPr>
            <w:spacing w:after="0"/>
            <w:jc w:val="center"/>
          </w:pPr>
          <w:r/>
          <w:r>
            <w:rPr>
              <w:rFonts w:ascii="Calibri" w:hAnsi="Calibri"/>
              <w:b w:val="0"/>
              <w:i w:val="0"/>
              <w:color w:val="595959"/>
              <w:sz w:val="15"/>
            </w:rPr>
            <w:t>Documento controlado ISO 9001:2015 (cl. 7.5)</w:t>
          </w:r>
        </w:p>
      </w:tc>
      <w:tc>
        <w:tcPr>
          <w:tcW w:type="dxa" w:w="1938"/>
        </w:tcPr>
        <w:p>
          <w:pPr>
            <w:spacing w:after="0"/>
          </w:pPr>
          <w:r/>
          <w:r>
            <w:rPr>
              <w:rFonts w:ascii="Calibri" w:hAnsi="Calibri"/>
              <w:b/>
              <w:i w:val="0"/>
              <w:color w:val="000000"/>
              <w:sz w:val="15"/>
            </w:rPr>
            <w:t xml:space="preserve">Propietario: </w:t>
          </w:r>
          <w:r>
            <w:rPr>
              <w:rFonts w:ascii="Calibri" w:hAnsi="Calibri"/>
              <w:b w:val="0"/>
              <w:i w:val="0"/>
              <w:color w:val="1C242E"/>
              <w:sz w:val="15"/>
            </w:rPr>
            <w:t>Coordinación de Logística</w:t>
          </w:r>
        </w:p>
      </w:tc>
      <w:tc>
        <w:tcPr>
          <w:tcW w:type="dxa" w:w="1938"/>
        </w:tcPr>
        <w:p>
          <w:pPr>
            <w:spacing w:after="0"/>
          </w:pPr>
          <w:r/>
          <w:r>
            <w:rPr>
              <w:rFonts w:ascii="Calibri" w:hAnsi="Calibri"/>
              <w:b/>
              <w:i w:val="0"/>
              <w:color w:val="000000"/>
              <w:sz w:val="15"/>
            </w:rPr>
            <w:t xml:space="preserve">Vigencia: </w:t>
          </w:r>
          <w:r>
            <w:rPr>
              <w:rFonts w:ascii="Calibri" w:hAnsi="Calibri"/>
              <w:b w:val="0"/>
              <w:i w:val="0"/>
              <w:color w:val="1C242E"/>
              <w:sz w:val="15"/>
            </w:rPr>
            <w:t>Octubre 2026</w:t>
          </w:r>
        </w:p>
      </w:tc>
    </w:tr>
  </w:tbl>
  <w:p>
    <w:pPr>
      <w:pStyle w:val="Header"/>
      <w:pBdr>
        <w:bottom w:val="single" w:sz="18" w:space="1" w:color="FB803A"/>
      </w:pBdr>
      <w:spacing w:before="0"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PRO-LR-03 Preparación, Verificación y Control de Salida de Cargas</dc:title>
  <dc:subject>Control interno de la carga que sale a ruta, del handoff de Almacén al cotejo de regreso</dc:subject>
  <dc:creator>DETA Consultores</dc:creator>
  <cp:keywords/>
  <dc:description>Grupo DISAL | Procedimiento de Logística | V1.4</dc:description>
  <cp:lastModifiedBy/>
  <cp:revision>1</cp:revision>
  <dcterms:created xsi:type="dcterms:W3CDTF">2013-12-23T23:15:00Z</dcterms:created>
  <dcterms:modified xsi:type="dcterms:W3CDTF">2013-12-23T23:15:00Z</dcterms:modified>
  <cp:category/>
</cp:coreProperties>
</file>