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Cómo se registra el costo de compra, se fija el precio dentro de la banda de margen sobre compra y se audita el margen real</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la forma estándar de registrar el costo de compra de cada artículo, fijar el precio de venta dentro de la banda de margen vigente, actualizar el precio cuando cambia el costo del proveedor, autorizar las excepciones según su nivel y auditar de forma periódica el margen real con Finanzas.</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todos los artículos que Compras da de alta y mantiene en el control de inventario y proyección semanal (FOR-CO-01 Control de Inventario y Proyección Semanal por Proveedor), tanto de crédito como de contado, a la lista de precios semanal de verdura (FOR-CO-10 Pre-Orden de Verdura) y a cualquier cambio de costo, precio o proveedor que afecte el margen. No cubre la inspección física de la mercancía, la liberación de pagos ni el análisis de rotación de inventario, que es de Finanzas.</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Banda de margen vigente sobre compra. </w:t>
      </w:r>
      <w:r>
        <w:rPr>
          <w:rFonts w:ascii="Calibri" w:hAnsi="Calibri"/>
          <w:b w:val="0"/>
          <w:i w:val="0"/>
          <w:color w:val="1C242E"/>
          <w:sz w:val="20"/>
        </w:rPr>
        <w:t>La regla vigente es un margen de 20 a 30 por ciento sobre el costo de compra, calculado como (precio - costo) / costo. Dentro de esa banda la Jefatura de Compras ajusta el precio con base en el historial de ventas y los precios actuales.</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El costo se toma del registro de compra. </w:t>
      </w:r>
      <w:r>
        <w:rPr>
          <w:rFonts w:ascii="Calibri" w:hAnsi="Calibri"/>
          <w:b w:val="0"/>
          <w:i w:val="0"/>
          <w:color w:val="1C242E"/>
          <w:sz w:val="20"/>
        </w:rPr>
        <w:t>El costo de referencia es el último costo de compra registrado en FOR-CO-01, confirmado en el cotejo documental de la orden de compra; en verdura, por su precio variable, se toma de la lista de precios semanal de FOR-CO-10. PEPS se aplica solo en físico; el sistema no lo maneja, así que el costo no se asigna por lote de entrada.</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Tres niveles para mover el precio. </w:t>
      </w:r>
      <w:r>
        <w:rPr>
          <w:rFonts w:ascii="Calibri" w:hAnsi="Calibri"/>
          <w:b w:val="0"/>
          <w:i w:val="0"/>
          <w:color w:val="1C242E"/>
          <w:sz w:val="20"/>
        </w:rPr>
        <w:t>(1) El ajuste por cambio de costo que respeta la banda lo hace la Jefatura de Compras y lo registra, sin autorización adicional. (2) Un precio por debajo de la banda, o el cambio de proveedor o de un producto consolidado, va en FOR-CO-06 Comparativa para Cambio de Producto o Proveedor con visto bueno de Finanzas en costo y margen, y de Dirección General según el impacto. (3) La tabla de márgenes por familia la calibra Dirección General con Finanzas.</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Ningún cambio de proveedor o producto sin comparativa. </w:t>
      </w:r>
      <w:r>
        <w:rPr>
          <w:rFonts w:ascii="Calibri" w:hAnsi="Calibri"/>
          <w:b w:val="0"/>
          <w:i w:val="0"/>
          <w:color w:val="1C242E"/>
          <w:sz w:val="20"/>
        </w:rPr>
        <w:t>Todo cambio de artículo o de proveedor y toda compra por volumen que afecte el precio se sustenta con FOR-CO-06 y la aprobación de rendimiento de Norawa. Ningún cambio de un insumo consolidado procede solo por costo.</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Tabla por familia: propuesta a calibrar. </w:t>
      </w:r>
      <w:r>
        <w:rPr>
          <w:rFonts w:ascii="Calibri" w:hAnsi="Calibri"/>
          <w:b w:val="0"/>
          <w:i w:val="0"/>
          <w:color w:val="1C242E"/>
          <w:sz w:val="20"/>
        </w:rPr>
        <w:t>La tabla de pisos por familia es una propuesta que Dirección General calibra con Finanzas usando el costeo real y la investigación de mercado que aporta el área comercial. Mientras no se calibre, opera la banda vigente. Un piso menor a 20 por ciento solo aplica como excepción autorizada.</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Investigación de mercado del área comercial. </w:t>
      </w:r>
      <w:r>
        <w:rPr>
          <w:rFonts w:ascii="Calibri" w:hAnsi="Calibri"/>
          <w:b w:val="0"/>
          <w:i w:val="0"/>
          <w:color w:val="1C242E"/>
          <w:sz w:val="20"/>
        </w:rPr>
        <w:t>La investigación de mercado sobre la competencia directa la aporta el área comercial como insumo; Compras la usa para negociar con proveedores y fijar el precio. En familias muy comparadas el margen se acota y en las de alta merma se sube, dentro de la banda salvo excepción autorizada.</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Auditoría del margen: verdura semanal, resto mensual. </w:t>
      </w:r>
      <w:r>
        <w:rPr>
          <w:rFonts w:ascii="Calibri" w:hAnsi="Calibri"/>
          <w:b w:val="0"/>
          <w:i w:val="0"/>
          <w:color w:val="1C242E"/>
          <w:sz w:val="20"/>
        </w:rPr>
        <w:t>La Jefatura de Compras audita el margen real cada semana en verdura y cada mes en el resto, y entrega a Finanzas la bitácora de margen. Finanzas audita después con esa bitácora y valida el costo al revisar la nota del proveedor contra el contrarrecibo (PRO-FI-05 Cuentas por Pagar y Programación de Pagos).</w:t>
      </w:r>
    </w:p>
    <w:p>
      <w:pPr>
        <w:tabs>
          <w:tab w:pos="340" w:val="left"/>
        </w:tabs>
        <w:spacing w:after="100"/>
        <w:ind w:left="340" w:hanging="340"/>
      </w:pPr>
      <w:r>
        <w:rPr>
          <w:rFonts w:ascii="Calibri" w:hAnsi="Calibri"/>
          <w:b/>
          <w:i w:val="0"/>
          <w:color w:val="C9641D"/>
          <w:sz w:val="20"/>
        </w:rPr>
        <w:t>8.</w:t>
        <w:tab/>
      </w:r>
      <w:r>
        <w:rPr>
          <w:rFonts w:ascii="Calibri" w:hAnsi="Calibri"/>
          <w:b/>
          <w:i w:val="0"/>
          <w:color w:val="000000"/>
          <w:sz w:val="20"/>
        </w:rPr>
        <w:t xml:space="preserve">Existencia validada en el recorrido conjunto. </w:t>
      </w:r>
      <w:r>
        <w:rPr>
          <w:rFonts w:ascii="Calibri" w:hAnsi="Calibri"/>
          <w:b w:val="0"/>
          <w:i w:val="0"/>
          <w:color w:val="1C242E"/>
          <w:sz w:val="20"/>
        </w:rPr>
        <w:t>La existencia la cuenta y confirma Almacén (PRO-ALM-02 Conteo Cíclico e Inventario Físico) y Compras la valida con Almacén en el recorrido diario conjunto. Compras nunca ajusta existencias en sistema: reporta la diferencia a Almacén y el ajuste va por PRO-ALM-03 Control de Ajustes con FOR-ALM-02. El sistema (TECHNOPC) no es confiable para existencias; se ajusta cuando el sistema se estabilice.</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Costo de compra</w:t>
            </w:r>
          </w:p>
        </w:tc>
        <w:tc>
          <w:tcPr>
            <w:tcW w:type="dxa" w:w="7344"/>
          </w:tcPr>
          <w:p>
            <w:pPr>
              <w:spacing w:after="0"/>
            </w:pPr>
            <w:r/>
            <w:r>
              <w:rPr>
                <w:rFonts w:ascii="Calibri" w:hAnsi="Calibri"/>
                <w:b w:val="0"/>
                <w:i w:val="0"/>
                <w:color w:val="1C242E"/>
                <w:sz w:val="19"/>
              </w:rPr>
              <w:t>Costo pagado al proveedor por unidad de un artículo (en verdura, por kilo), registrado en FOR-CO-01 o, en verdura, en la lista de precios semanal de FOR-CO-10.</w:t>
            </w:r>
          </w:p>
        </w:tc>
      </w:tr>
      <w:tr>
        <w:trPr>
          <w:cantSplit w:val="true"/>
        </w:trPr>
        <w:tc>
          <w:tcPr>
            <w:tcW w:type="dxa" w:w="2856"/>
          </w:tcPr>
          <w:p>
            <w:pPr>
              <w:spacing w:after="0"/>
            </w:pPr>
            <w:r/>
            <w:r>
              <w:rPr>
                <w:rFonts w:ascii="Calibri" w:hAnsi="Calibri"/>
                <w:b w:val="0"/>
                <w:i w:val="0"/>
                <w:color w:val="1C242E"/>
                <w:sz w:val="19"/>
              </w:rPr>
              <w:t>Precio de venta</w:t>
            </w:r>
          </w:p>
        </w:tc>
        <w:tc>
          <w:tcPr>
            <w:tcW w:type="dxa" w:w="7344"/>
          </w:tcPr>
          <w:p>
            <w:pPr>
              <w:spacing w:after="0"/>
            </w:pPr>
            <w:r/>
            <w:r>
              <w:rPr>
                <w:rFonts w:ascii="Calibri" w:hAnsi="Calibri"/>
                <w:b w:val="0"/>
                <w:i w:val="0"/>
                <w:color w:val="1C242E"/>
                <w:sz w:val="19"/>
              </w:rPr>
              <w:t>Precio al que se vende el artículo, calculado sobre el costo de compra más el margen.</w:t>
            </w:r>
          </w:p>
        </w:tc>
      </w:tr>
      <w:tr>
        <w:trPr>
          <w:cantSplit w:val="true"/>
        </w:trPr>
        <w:tc>
          <w:tcPr>
            <w:tcW w:type="dxa" w:w="2856"/>
          </w:tcPr>
          <w:p>
            <w:pPr>
              <w:spacing w:after="0"/>
            </w:pPr>
            <w:r/>
            <w:r>
              <w:rPr>
                <w:rFonts w:ascii="Calibri" w:hAnsi="Calibri"/>
                <w:b w:val="0"/>
                <w:i w:val="0"/>
                <w:color w:val="1C242E"/>
                <w:sz w:val="19"/>
              </w:rPr>
              <w:t>Ganancia unitaria</w:t>
            </w:r>
          </w:p>
        </w:tc>
        <w:tc>
          <w:tcPr>
            <w:tcW w:type="dxa" w:w="7344"/>
          </w:tcPr>
          <w:p>
            <w:pPr>
              <w:spacing w:after="0"/>
            </w:pPr>
            <w:r/>
            <w:r>
              <w:rPr>
                <w:rFonts w:ascii="Calibri" w:hAnsi="Calibri"/>
                <w:b w:val="0"/>
                <w:i w:val="0"/>
                <w:color w:val="1C242E"/>
                <w:sz w:val="19"/>
              </w:rPr>
              <w:t>Diferencia entre el precio de venta y el costo de compra de un artículo.</w:t>
            </w:r>
          </w:p>
        </w:tc>
      </w:tr>
      <w:tr>
        <w:trPr>
          <w:cantSplit w:val="true"/>
        </w:trPr>
        <w:tc>
          <w:tcPr>
            <w:tcW w:type="dxa" w:w="2856"/>
          </w:tcPr>
          <w:p>
            <w:pPr>
              <w:spacing w:after="0"/>
            </w:pPr>
            <w:r/>
            <w:r>
              <w:rPr>
                <w:rFonts w:ascii="Calibri" w:hAnsi="Calibri"/>
                <w:b w:val="0"/>
                <w:i w:val="0"/>
                <w:color w:val="1C242E"/>
                <w:sz w:val="19"/>
              </w:rPr>
              <w:t>Margen sobre compra</w:t>
            </w:r>
          </w:p>
        </w:tc>
        <w:tc>
          <w:tcPr>
            <w:tcW w:type="dxa" w:w="7344"/>
          </w:tcPr>
          <w:p>
            <w:pPr>
              <w:spacing w:after="0"/>
            </w:pPr>
            <w:r/>
            <w:r>
              <w:rPr>
                <w:rFonts w:ascii="Calibri" w:hAnsi="Calibri"/>
                <w:b w:val="0"/>
                <w:i w:val="0"/>
                <w:color w:val="1C242E"/>
                <w:sz w:val="19"/>
              </w:rPr>
              <w:t>Ganancia unitaria expresada como porcentaje del costo de compra: (precio - costo) / costo.</w:t>
            </w:r>
          </w:p>
        </w:tc>
      </w:tr>
      <w:tr>
        <w:trPr>
          <w:cantSplit w:val="true"/>
        </w:trPr>
        <w:tc>
          <w:tcPr>
            <w:tcW w:type="dxa" w:w="2856"/>
          </w:tcPr>
          <w:p>
            <w:pPr>
              <w:spacing w:after="0"/>
            </w:pPr>
            <w:r/>
            <w:r>
              <w:rPr>
                <w:rFonts w:ascii="Calibri" w:hAnsi="Calibri"/>
                <w:b w:val="0"/>
                <w:i w:val="0"/>
                <w:color w:val="1C242E"/>
                <w:sz w:val="19"/>
              </w:rPr>
              <w:t>Banda de margen vigente</w:t>
            </w:r>
          </w:p>
        </w:tc>
        <w:tc>
          <w:tcPr>
            <w:tcW w:type="dxa" w:w="7344"/>
          </w:tcPr>
          <w:p>
            <w:pPr>
              <w:spacing w:after="0"/>
            </w:pPr>
            <w:r/>
            <w:r>
              <w:rPr>
                <w:rFonts w:ascii="Calibri" w:hAnsi="Calibri"/>
                <w:b w:val="0"/>
                <w:i w:val="0"/>
                <w:color w:val="1C242E"/>
                <w:sz w:val="19"/>
              </w:rPr>
              <w:t>Margen de 20 a 30 por ciento sobre el costo de compra con que opera la Jefatura de Compras; dentro de ella ajusta el precio con base en el historial de ventas y los precios actuales.</w:t>
            </w:r>
          </w:p>
        </w:tc>
      </w:tr>
      <w:tr>
        <w:trPr>
          <w:cantSplit w:val="true"/>
        </w:trPr>
        <w:tc>
          <w:tcPr>
            <w:tcW w:type="dxa" w:w="2856"/>
          </w:tcPr>
          <w:p>
            <w:pPr>
              <w:spacing w:after="0"/>
            </w:pPr>
            <w:r/>
            <w:r>
              <w:rPr>
                <w:rFonts w:ascii="Calibri" w:hAnsi="Calibri"/>
                <w:b w:val="0"/>
                <w:i w:val="0"/>
                <w:color w:val="1C242E"/>
                <w:sz w:val="19"/>
              </w:rPr>
              <w:t>Piso por familia</w:t>
            </w:r>
          </w:p>
        </w:tc>
        <w:tc>
          <w:tcPr>
            <w:tcW w:type="dxa" w:w="7344"/>
          </w:tcPr>
          <w:p>
            <w:pPr>
              <w:spacing w:after="0"/>
            </w:pPr>
            <w:r/>
            <w:r>
              <w:rPr>
                <w:rFonts w:ascii="Calibri" w:hAnsi="Calibri"/>
                <w:b w:val="0"/>
                <w:i w:val="0"/>
                <w:color w:val="1C242E"/>
                <w:sz w:val="19"/>
              </w:rPr>
              <w:t>Margen mínimo propuesto para una familia de producto, a calibrar por Dirección General con Finanzas. Un piso menor a 20 por ciento solo opera como excepción autorizada.</w:t>
            </w:r>
          </w:p>
        </w:tc>
      </w:tr>
      <w:tr>
        <w:trPr>
          <w:cantSplit w:val="true"/>
        </w:trPr>
        <w:tc>
          <w:tcPr>
            <w:tcW w:type="dxa" w:w="2856"/>
          </w:tcPr>
          <w:p>
            <w:pPr>
              <w:spacing w:after="0"/>
            </w:pPr>
            <w:r/>
            <w:r>
              <w:rPr>
                <w:rFonts w:ascii="Calibri" w:hAnsi="Calibri"/>
                <w:b w:val="0"/>
                <w:i w:val="0"/>
                <w:color w:val="1C242E"/>
                <w:sz w:val="19"/>
              </w:rPr>
              <w:t>Familia de producto</w:t>
            </w:r>
          </w:p>
        </w:tc>
        <w:tc>
          <w:tcPr>
            <w:tcW w:type="dxa" w:w="7344"/>
          </w:tcPr>
          <w:p>
            <w:pPr>
              <w:spacing w:after="0"/>
            </w:pPr>
            <w:r/>
            <w:r>
              <w:rPr>
                <w:rFonts w:ascii="Calibri" w:hAnsi="Calibri"/>
                <w:b w:val="0"/>
                <w:i w:val="0"/>
                <w:color w:val="1C242E"/>
                <w:sz w:val="19"/>
              </w:rPr>
              <w:t>Agrupación de artículos con comportamiento de costo, merma y competencia similar, usada para proponer su piso de margen.</w:t>
            </w:r>
          </w:p>
        </w:tc>
      </w:tr>
      <w:tr>
        <w:trPr>
          <w:cantSplit w:val="true"/>
        </w:trPr>
        <w:tc>
          <w:tcPr>
            <w:tcW w:type="dxa" w:w="2856"/>
          </w:tcPr>
          <w:p>
            <w:pPr>
              <w:spacing w:after="0"/>
            </w:pPr>
            <w:r/>
            <w:r>
              <w:rPr>
                <w:rFonts w:ascii="Calibri" w:hAnsi="Calibri"/>
                <w:b w:val="0"/>
                <w:i w:val="0"/>
                <w:color w:val="1C242E"/>
                <w:sz w:val="19"/>
              </w:rPr>
              <w:t>Lista de precios semanal de verdura</w:t>
            </w:r>
          </w:p>
        </w:tc>
        <w:tc>
          <w:tcPr>
            <w:tcW w:type="dxa" w:w="7344"/>
          </w:tcPr>
          <w:p>
            <w:pPr>
              <w:spacing w:after="0"/>
            </w:pPr>
            <w:r/>
            <w:r>
              <w:rPr>
                <w:rFonts w:ascii="Calibri" w:hAnsi="Calibri"/>
                <w:b w:val="0"/>
                <w:i w:val="0"/>
                <w:color w:val="1C242E"/>
                <w:sz w:val="19"/>
              </w:rPr>
              <w:t>Hoja de FOR-CO-10 donde Compras fija cada semana el precio de compra y de venta por kilo de la verdura, cuyo costo varía cada semana.</w:t>
            </w:r>
          </w:p>
        </w:tc>
      </w:tr>
      <w:tr>
        <w:trPr>
          <w:cantSplit w:val="true"/>
        </w:trPr>
        <w:tc>
          <w:tcPr>
            <w:tcW w:type="dxa" w:w="2856"/>
          </w:tcPr>
          <w:p>
            <w:pPr>
              <w:spacing w:after="0"/>
            </w:pPr>
            <w:r/>
            <w:r>
              <w:rPr>
                <w:rFonts w:ascii="Calibri" w:hAnsi="Calibri"/>
                <w:b w:val="0"/>
                <w:i w:val="0"/>
                <w:color w:val="1C242E"/>
                <w:sz w:val="19"/>
              </w:rPr>
              <w:t>Bitácora de margen</w:t>
            </w:r>
          </w:p>
        </w:tc>
        <w:tc>
          <w:tcPr>
            <w:tcW w:type="dxa" w:w="7344"/>
          </w:tcPr>
          <w:p>
            <w:pPr>
              <w:spacing w:after="0"/>
            </w:pPr>
            <w:r/>
            <w:r>
              <w:rPr>
                <w:rFonts w:ascii="Calibri" w:hAnsi="Calibri"/>
                <w:b w:val="0"/>
                <w:i w:val="0"/>
                <w:color w:val="1C242E"/>
                <w:sz w:val="19"/>
              </w:rPr>
              <w:t>Registro de los artículos por debajo de la banda o del piso y de los costos desactualizados que Compras entrega a Finanzas para su auditoría.</w:t>
            </w:r>
          </w:p>
        </w:tc>
      </w:tr>
      <w:tr>
        <w:trPr>
          <w:cantSplit w:val="true"/>
        </w:trPr>
        <w:tc>
          <w:tcPr>
            <w:tcW w:type="dxa" w:w="2856"/>
          </w:tcPr>
          <w:p>
            <w:pPr>
              <w:spacing w:after="0"/>
            </w:pPr>
            <w:r/>
            <w:r>
              <w:rPr>
                <w:rFonts w:ascii="Calibri" w:hAnsi="Calibri"/>
                <w:b w:val="0"/>
                <w:i w:val="0"/>
                <w:color w:val="1C242E"/>
                <w:sz w:val="19"/>
              </w:rPr>
              <w:t>Merma</w:t>
            </w:r>
          </w:p>
        </w:tc>
        <w:tc>
          <w:tcPr>
            <w:tcW w:type="dxa" w:w="7344"/>
          </w:tcPr>
          <w:p>
            <w:pPr>
              <w:spacing w:after="0"/>
            </w:pPr>
            <w:r/>
            <w:r>
              <w:rPr>
                <w:rFonts w:ascii="Calibri" w:hAnsi="Calibri"/>
                <w:b w:val="0"/>
                <w:i w:val="0"/>
                <w:color w:val="1C242E"/>
                <w:sz w:val="19"/>
              </w:rPr>
              <w:t>Pérdida de producto por caducidad, deterioro o manejo, mayor en perecederos y verdura.</w:t>
            </w:r>
          </w:p>
        </w:tc>
      </w:tr>
      <w:tr>
        <w:trPr>
          <w:cantSplit w:val="true"/>
        </w:trPr>
        <w:tc>
          <w:tcPr>
            <w:tcW w:type="dxa" w:w="2856"/>
          </w:tcPr>
          <w:p>
            <w:pPr>
              <w:spacing w:after="0"/>
            </w:pPr>
            <w:r/>
            <w:r>
              <w:rPr>
                <w:rFonts w:ascii="Calibri" w:hAnsi="Calibri"/>
                <w:b w:val="0"/>
                <w:i w:val="0"/>
                <w:color w:val="1C242E"/>
                <w:sz w:val="19"/>
              </w:rPr>
              <w:t>Comparativa de cambio</w:t>
            </w:r>
          </w:p>
        </w:tc>
        <w:tc>
          <w:tcPr>
            <w:tcW w:type="dxa" w:w="7344"/>
          </w:tcPr>
          <w:p>
            <w:pPr>
              <w:spacing w:after="0"/>
            </w:pPr>
            <w:r/>
            <w:r>
              <w:rPr>
                <w:rFonts w:ascii="Calibri" w:hAnsi="Calibri"/>
                <w:b w:val="0"/>
                <w:i w:val="0"/>
                <w:color w:val="1C242E"/>
                <w:sz w:val="19"/>
              </w:rPr>
              <w:t>Formato FOR-CO-06 que documenta y autoriza el cambio de un artículo, proveedor o precio con folios encadenados de solicitud y resolución.</w:t>
            </w:r>
          </w:p>
        </w:tc>
      </w:tr>
      <w:tr>
        <w:trPr>
          <w:cantSplit w:val="true"/>
        </w:trPr>
        <w:tc>
          <w:tcPr>
            <w:tcW w:type="dxa" w:w="2856"/>
          </w:tcPr>
          <w:p>
            <w:pPr>
              <w:spacing w:after="0"/>
            </w:pPr>
            <w:r/>
            <w:r>
              <w:rPr>
                <w:rFonts w:ascii="Calibri" w:hAnsi="Calibri"/>
                <w:b w:val="0"/>
                <w:i w:val="0"/>
                <w:color w:val="1C242E"/>
                <w:sz w:val="19"/>
              </w:rPr>
              <w:t>Norawa</w:t>
            </w:r>
          </w:p>
        </w:tc>
        <w:tc>
          <w:tcPr>
            <w:tcW w:type="dxa" w:w="7344"/>
          </w:tcPr>
          <w:p>
            <w:pPr>
              <w:spacing w:after="0"/>
            </w:pPr>
            <w:r/>
            <w:r>
              <w:rPr>
                <w:rFonts w:ascii="Calibri" w:hAnsi="Calibri"/>
                <w:b w:val="0"/>
                <w:i w:val="0"/>
                <w:color w:val="1C242E"/>
                <w:sz w:val="19"/>
              </w:rPr>
              <w:t>Cliente principal de DISAL, empresa hermana, que aprueba el rendimiento de una muestra antes de autorizar el cambio de un insumo o proveedor.</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Jefatura de Compras</w:t>
            </w:r>
          </w:p>
        </w:tc>
        <w:tc>
          <w:tcPr>
            <w:tcW w:type="dxa" w:w="7344"/>
          </w:tcPr>
          <w:p>
            <w:pPr>
              <w:pStyle w:val="ListBullet"/>
              <w:spacing w:after="20"/>
            </w:pPr>
            <w:r/>
            <w:r>
              <w:rPr>
                <w:rFonts w:ascii="Calibri" w:hAnsi="Calibri"/>
                <w:b w:val="0"/>
                <w:i w:val="0"/>
                <w:color w:val="1C242E"/>
                <w:sz w:val="19"/>
              </w:rPr>
              <w:t>Registrar el costo de compra y fijar el precio dentro de la banda de 20 a 30 por ciento sobre compra</w:t>
            </w:r>
          </w:p>
          <w:p>
            <w:pPr>
              <w:pStyle w:val="ListBullet"/>
              <w:spacing w:after="20"/>
            </w:pPr>
            <w:r>
              <w:rPr>
                <w:rFonts w:ascii="Calibri" w:hAnsi="Calibri"/>
                <w:b w:val="0"/>
                <w:i w:val="0"/>
                <w:color w:val="1C242E"/>
                <w:sz w:val="19"/>
              </w:rPr>
              <w:t>Mantener las listas de precios, incluida la lista semanal de verdura (FOR-CO-10)</w:t>
            </w:r>
          </w:p>
          <w:p>
            <w:pPr>
              <w:pStyle w:val="ListBullet"/>
              <w:spacing w:after="20"/>
            </w:pPr>
            <w:r>
              <w:rPr>
                <w:rFonts w:ascii="Calibri" w:hAnsi="Calibri"/>
                <w:b w:val="0"/>
                <w:i w:val="0"/>
                <w:color w:val="1C242E"/>
                <w:sz w:val="19"/>
              </w:rPr>
              <w:t>Ajustar el precio por cambio de costo dentro de la banda y registrarlo</w:t>
            </w:r>
          </w:p>
          <w:p>
            <w:pPr>
              <w:pStyle w:val="ListBullet"/>
              <w:spacing w:after="20"/>
            </w:pPr>
            <w:r>
              <w:rPr>
                <w:rFonts w:ascii="Calibri" w:hAnsi="Calibri"/>
                <w:b w:val="0"/>
                <w:i w:val="0"/>
                <w:color w:val="1C242E"/>
                <w:sz w:val="19"/>
              </w:rPr>
              <w:t>Preparar FOR-CO-06 para todo precio por debajo de la banda y todo cambio de proveedor o producto consolidado</w:t>
            </w:r>
          </w:p>
          <w:p>
            <w:pPr>
              <w:pStyle w:val="ListBullet"/>
              <w:spacing w:after="20"/>
            </w:pPr>
            <w:r>
              <w:rPr>
                <w:rFonts w:ascii="Calibri" w:hAnsi="Calibri"/>
                <w:b w:val="0"/>
                <w:i w:val="0"/>
                <w:color w:val="1C242E"/>
                <w:sz w:val="19"/>
              </w:rPr>
              <w:t>Validar la existencia con Almacén en el recorrido diario y reportarle las diferencias, sin ajustar el sistema</w:t>
            </w:r>
          </w:p>
          <w:p>
            <w:pPr>
              <w:pStyle w:val="ListBullet"/>
              <w:spacing w:after="20"/>
            </w:pPr>
            <w:r>
              <w:rPr>
                <w:rFonts w:ascii="Calibri" w:hAnsi="Calibri"/>
                <w:b w:val="0"/>
                <w:i w:val="0"/>
                <w:color w:val="1C242E"/>
                <w:sz w:val="19"/>
              </w:rPr>
              <w:t>Auditar el margen cada semana en verdura y cada mes en el resto y entregar la bitácora a Finanzas</w:t>
            </w:r>
          </w:p>
          <w:p>
            <w:pPr>
              <w:pStyle w:val="ListBullet"/>
              <w:spacing w:after="20"/>
            </w:pPr>
            <w:r>
              <w:rPr>
                <w:rFonts w:ascii="Calibri" w:hAnsi="Calibri"/>
                <w:b w:val="0"/>
                <w:i w:val="0"/>
                <w:color w:val="1C242E"/>
                <w:sz w:val="19"/>
              </w:rPr>
              <w:t>Compartir FOR-CO-01 con Finanzas como insumo del análisis de rotación</w:t>
            </w:r>
          </w:p>
        </w:tc>
      </w:tr>
      <w:tr>
        <w:tc>
          <w:tcPr>
            <w:tcW w:type="dxa" w:w="2856"/>
          </w:tcPr>
          <w:p>
            <w:pPr>
              <w:spacing w:after="0"/>
            </w:pPr>
            <w:r/>
            <w:r>
              <w:rPr>
                <w:rFonts w:ascii="Calibri" w:hAnsi="Calibri"/>
                <w:b/>
                <w:i w:val="0"/>
                <w:color w:val="000000"/>
                <w:sz w:val="19"/>
              </w:rPr>
              <w:t>Finanzas</w:t>
            </w:r>
          </w:p>
        </w:tc>
        <w:tc>
          <w:tcPr>
            <w:tcW w:type="dxa" w:w="7344"/>
          </w:tcPr>
          <w:p>
            <w:pPr>
              <w:pStyle w:val="ListBullet"/>
              <w:spacing w:after="20"/>
            </w:pPr>
            <w:r/>
            <w:r>
              <w:rPr>
                <w:rFonts w:ascii="Calibri" w:hAnsi="Calibri"/>
                <w:b w:val="0"/>
                <w:i w:val="0"/>
                <w:color w:val="1C242E"/>
                <w:sz w:val="19"/>
              </w:rPr>
              <w:t>Validar el costo de compra al revisar la nota del proveedor contra el contrarrecibo (PRO-FI-05)</w:t>
            </w:r>
          </w:p>
          <w:p>
            <w:pPr>
              <w:pStyle w:val="ListBullet"/>
              <w:spacing w:after="20"/>
            </w:pPr>
            <w:r>
              <w:rPr>
                <w:rFonts w:ascii="Calibri" w:hAnsi="Calibri"/>
                <w:b w:val="0"/>
                <w:i w:val="0"/>
                <w:color w:val="1C242E"/>
                <w:sz w:val="19"/>
              </w:rPr>
              <w:t>Dar visto bueno en costo y margen a los precios por debajo de la banda y a los cambios de proveedor o producto consolidado</w:t>
            </w:r>
          </w:p>
          <w:p>
            <w:pPr>
              <w:pStyle w:val="ListBullet"/>
              <w:spacing w:after="20"/>
            </w:pPr>
            <w:r>
              <w:rPr>
                <w:rFonts w:ascii="Calibri" w:hAnsi="Calibri"/>
                <w:b w:val="0"/>
                <w:i w:val="0"/>
                <w:color w:val="1C242E"/>
                <w:sz w:val="19"/>
              </w:rPr>
              <w:t>Auditar después el margen con la bitácora que entrega Compras</w:t>
            </w:r>
          </w:p>
          <w:p>
            <w:pPr>
              <w:pStyle w:val="ListBullet"/>
              <w:spacing w:after="20"/>
            </w:pPr>
            <w:r>
              <w:rPr>
                <w:rFonts w:ascii="Calibri" w:hAnsi="Calibri"/>
                <w:b w:val="0"/>
                <w:i w:val="0"/>
                <w:color w:val="1C242E"/>
                <w:sz w:val="19"/>
              </w:rPr>
              <w:t>Calibrar con Dirección General la tabla por familia con el costeo real</w:t>
            </w:r>
          </w:p>
          <w:p>
            <w:pPr>
              <w:pStyle w:val="ListBullet"/>
              <w:spacing w:after="20"/>
            </w:pPr>
            <w:r>
              <w:rPr>
                <w:rFonts w:ascii="Calibri" w:hAnsi="Calibri"/>
                <w:b w:val="0"/>
                <w:i w:val="0"/>
                <w:color w:val="1C242E"/>
                <w:sz w:val="19"/>
              </w:rPr>
              <w:t>Analizar la rotación de inventario como indicador financiero</w:t>
            </w:r>
          </w:p>
        </w:tc>
      </w:tr>
      <w:tr>
        <w:tc>
          <w:tcPr>
            <w:tcW w:type="dxa" w:w="2856"/>
          </w:tcPr>
          <w:p>
            <w:pPr>
              <w:spacing w:after="0"/>
            </w:pPr>
            <w:r/>
            <w:r>
              <w:rPr>
                <w:rFonts w:ascii="Calibri" w:hAnsi="Calibri"/>
                <w:b/>
                <w:i w:val="0"/>
                <w:color w:val="000000"/>
                <w:sz w:val="19"/>
              </w:rPr>
              <w:t>Norawa (cliente principal)</w:t>
            </w:r>
          </w:p>
        </w:tc>
        <w:tc>
          <w:tcPr>
            <w:tcW w:type="dxa" w:w="7344"/>
          </w:tcPr>
          <w:p>
            <w:pPr>
              <w:pStyle w:val="ListBullet"/>
              <w:spacing w:after="20"/>
            </w:pPr>
            <w:r/>
            <w:r>
              <w:rPr>
                <w:rFonts w:ascii="Calibri" w:hAnsi="Calibri"/>
                <w:b w:val="0"/>
                <w:i w:val="0"/>
                <w:color w:val="1C242E"/>
                <w:sz w:val="19"/>
              </w:rPr>
              <w:t>Aprobar o rechazar la muestra según su rendimiento antes de un cambio de insumo o proveedor</w:t>
            </w:r>
          </w:p>
          <w:p>
            <w:pPr>
              <w:pStyle w:val="ListBullet"/>
              <w:spacing w:after="20"/>
            </w:pPr>
            <w:r>
              <w:rPr>
                <w:rFonts w:ascii="Calibri" w:hAnsi="Calibri"/>
                <w:b w:val="0"/>
                <w:i w:val="0"/>
                <w:color w:val="1C242E"/>
                <w:sz w:val="19"/>
              </w:rPr>
              <w:t>Respaldar la autorización del cambio junto con Finanzas</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Calibrar con Finanzas y autorizar la tabla de márgenes por familia</w:t>
            </w:r>
          </w:p>
          <w:p>
            <w:pPr>
              <w:pStyle w:val="ListBullet"/>
              <w:spacing w:after="20"/>
            </w:pPr>
            <w:r>
              <w:rPr>
                <w:rFonts w:ascii="Calibri" w:hAnsi="Calibri"/>
                <w:b w:val="0"/>
                <w:i w:val="0"/>
                <w:color w:val="1C242E"/>
                <w:sz w:val="19"/>
              </w:rPr>
              <w:t>Autorizar como excepción los pisos menores a 20 por ciento</w:t>
            </w:r>
          </w:p>
          <w:p>
            <w:pPr>
              <w:pStyle w:val="ListBullet"/>
              <w:spacing w:after="20"/>
            </w:pPr>
            <w:r>
              <w:rPr>
                <w:rFonts w:ascii="Calibri" w:hAnsi="Calibri"/>
                <w:b w:val="0"/>
                <w:i w:val="0"/>
                <w:color w:val="1C242E"/>
                <w:sz w:val="19"/>
              </w:rPr>
              <w:t>Autorizar los cambios de precio o proveedor según su impacto</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 del procedimiento</w:t>
            </w:r>
          </w:p>
        </w:tc>
        <w:tc>
          <w:tcPr>
            <w:tcW w:type="dxa" w:w="6936"/>
          </w:tcPr>
          <w:p>
            <w:pPr>
              <w:spacing w:after="0"/>
            </w:pPr>
            <w:r/>
            <w:r>
              <w:rPr>
                <w:rFonts w:ascii="Calibri" w:hAnsi="Calibri"/>
                <w:b w:val="0"/>
                <w:i w:val="0"/>
                <w:color w:val="1C242E"/>
                <w:sz w:val="19"/>
              </w:rPr>
              <w:t>Jefatura de Compras</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Autoriza</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Formatos asociados</w:t>
            </w:r>
          </w:p>
        </w:tc>
        <w:tc>
          <w:tcPr>
            <w:tcW w:type="dxa" w:w="6936"/>
          </w:tcPr>
          <w:p>
            <w:pPr>
              <w:spacing w:after="0"/>
            </w:pPr>
            <w:r/>
            <w:r>
              <w:rPr>
                <w:rFonts w:ascii="Calibri" w:hAnsi="Calibri"/>
                <w:b w:val="0"/>
                <w:i w:val="0"/>
                <w:color w:val="1C242E"/>
                <w:sz w:val="19"/>
              </w:rPr>
              <w:t>FOR-CO-01, FOR-CO-06, FOR-CO-10; entrada: FOR-ALM-05</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Cada paso identifica al responsable y el formato que debe generarse cuando aplica. La tabla de pisos por familia es una propuesta a calibrar por Dirección General con Finanzas; se detalla en la Fase 2.</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1. Registro del costo</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Registrar el costo de compra. </w:t>
      </w:r>
      <w:r>
        <w:rPr>
          <w:rFonts w:ascii="Calibri" w:hAnsi="Calibri"/>
          <w:b w:val="0"/>
          <w:i w:val="0"/>
          <w:color w:val="1C242E"/>
          <w:sz w:val="20"/>
        </w:rPr>
        <w:t>Capturar el costo de cada artículo en FOR-CO-01, tomado de la remisión o factura sellada por Recepción y confirmado en el cotejo documental de la orden de compra. En verdura, registrar cada semana el precio de compra por kilo en la lista de precios semanal.</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FOR-CO-01 · Control de Inventario y Proyección Semanal por Proveedor</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FOR-CO-10 · lista de precios semanal de verdura</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Validar la existencia con Almacén. </w:t>
      </w:r>
      <w:r>
        <w:rPr>
          <w:rFonts w:ascii="Calibri" w:hAnsi="Calibri"/>
          <w:b w:val="0"/>
          <w:i w:val="0"/>
          <w:color w:val="1C242E"/>
          <w:sz w:val="20"/>
        </w:rPr>
        <w:t>Tomar la existencia que Almacén confirma y que Compras valida en el recorrido diario conjunto (FOR-ALM-05 Foto de existencias por sección). La diferencia contra sistema se reporta a Almacén; Compras no ajusta el sistema.</w:t>
      </w:r>
    </w:p>
    <w:p>
      <w:pPr>
        <w:spacing w:after="100"/>
        <w:ind w:left="907"/>
      </w:pPr>
      <w:r>
        <w:rPr>
          <w:rFonts w:ascii="Calibri" w:hAnsi="Calibri"/>
          <w:b/>
          <w:i w:val="0"/>
          <w:color w:val="C9641D"/>
          <w:sz w:val="18"/>
        </w:rPr>
        <w:t xml:space="preserve">Control: </w:t>
      </w:r>
      <w:r>
        <w:rPr>
          <w:rFonts w:ascii="Calibri" w:hAnsi="Calibri"/>
          <w:b w:val="0"/>
          <w:i w:val="0"/>
          <w:color w:val="595959"/>
          <w:sz w:val="18"/>
        </w:rPr>
        <w:t>Recorrido diario conjunto Compras y Almacén</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2. Cálculo del precio y margen</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Fijar el precio dentro de la banda. </w:t>
      </w:r>
      <w:r>
        <w:rPr>
          <w:rFonts w:ascii="Calibri" w:hAnsi="Calibri"/>
          <w:b w:val="0"/>
          <w:i w:val="0"/>
          <w:color w:val="1C242E"/>
          <w:sz w:val="20"/>
        </w:rPr>
        <w:t>Calcular el precio sobre el costo de compra con un margen de 20 a 30 por ciento, (precio - costo) / costo, ajustado con el historial de ventas, los precios actuales y la investigación de mercado del área comercial. Los pisos siguientes son propuesta a calibrar por Dirección General con Finanzas; los menores a 20 por ciento solo operan como excepción autorizada.</w:t>
      </w:r>
    </w:p>
    <w:p>
      <w:pPr>
        <w:keepNext/>
        <w:spacing w:after="20"/>
        <w:ind w:left="907"/>
      </w:pPr>
      <w:r>
        <w:rPr>
          <w:rFonts w:ascii="Calibri" w:hAnsi="Calibri"/>
          <w:b/>
          <w:i w:val="0"/>
          <w:color w:val="C9641D"/>
          <w:sz w:val="18"/>
        </w:rPr>
        <w:t xml:space="preserve">Abarrotes y secos de marca: </w:t>
      </w:r>
      <w:r>
        <w:rPr>
          <w:rFonts w:ascii="Calibri" w:hAnsi="Calibri"/>
          <w:b w:val="0"/>
          <w:i w:val="0"/>
          <w:color w:val="595959"/>
          <w:sz w:val="18"/>
        </w:rPr>
        <w:t>propuesta 15 por ciento (excepción); muy comparada contra distribuidores</w:t>
      </w:r>
    </w:p>
    <w:p>
      <w:pPr>
        <w:keepNext/>
        <w:spacing w:after="20"/>
        <w:ind w:left="907"/>
      </w:pPr>
      <w:r>
        <w:rPr>
          <w:rFonts w:ascii="Calibri" w:hAnsi="Calibri"/>
          <w:b/>
          <w:i w:val="0"/>
          <w:color w:val="C9641D"/>
          <w:sz w:val="18"/>
        </w:rPr>
        <w:t xml:space="preserve">Lácteos y quesos: </w:t>
      </w:r>
      <w:r>
        <w:rPr>
          <w:rFonts w:ascii="Calibri" w:hAnsi="Calibri"/>
          <w:b w:val="0"/>
          <w:i w:val="0"/>
          <w:color w:val="595959"/>
          <w:sz w:val="18"/>
        </w:rPr>
        <w:t>propuesta 20 por ciento; rotación media con algo de perecedero</w:t>
      </w:r>
    </w:p>
    <w:p>
      <w:pPr>
        <w:keepNext/>
        <w:spacing w:after="20"/>
        <w:ind w:left="907"/>
      </w:pPr>
      <w:r>
        <w:rPr>
          <w:rFonts w:ascii="Calibri" w:hAnsi="Calibri"/>
          <w:b/>
          <w:i w:val="0"/>
          <w:color w:val="C9641D"/>
          <w:sz w:val="18"/>
        </w:rPr>
        <w:t xml:space="preserve">Cárnicos de res y cerdo: </w:t>
      </w:r>
      <w:r>
        <w:rPr>
          <w:rFonts w:ascii="Calibri" w:hAnsi="Calibri"/>
          <w:b w:val="0"/>
          <w:i w:val="0"/>
          <w:color w:val="595959"/>
          <w:sz w:val="18"/>
        </w:rPr>
        <w:t>propuesta 18 por ciento (excepción); volumen y competencia media</w:t>
      </w:r>
    </w:p>
    <w:p>
      <w:pPr>
        <w:keepNext/>
        <w:spacing w:after="20"/>
        <w:ind w:left="907"/>
      </w:pPr>
      <w:r>
        <w:rPr>
          <w:rFonts w:ascii="Calibri" w:hAnsi="Calibri"/>
          <w:b/>
          <w:i w:val="0"/>
          <w:color w:val="C9641D"/>
          <w:sz w:val="18"/>
        </w:rPr>
        <w:t xml:space="preserve">Pollo: </w:t>
      </w:r>
      <w:r>
        <w:rPr>
          <w:rFonts w:ascii="Calibri" w:hAnsi="Calibri"/>
          <w:b w:val="0"/>
          <w:i w:val="0"/>
          <w:color w:val="595959"/>
          <w:sz w:val="18"/>
        </w:rPr>
        <w:t>propuesta 25 por ciento; alta rotación perecedera</w:t>
      </w:r>
    </w:p>
    <w:p>
      <w:pPr>
        <w:keepNext/>
        <w:spacing w:after="20"/>
        <w:ind w:left="907"/>
      </w:pPr>
      <w:r>
        <w:rPr>
          <w:rFonts w:ascii="Calibri" w:hAnsi="Calibri"/>
          <w:b/>
          <w:i w:val="0"/>
          <w:color w:val="C9641D"/>
          <w:sz w:val="18"/>
        </w:rPr>
        <w:t xml:space="preserve">Embutidos: </w:t>
      </w:r>
      <w:r>
        <w:rPr>
          <w:rFonts w:ascii="Calibri" w:hAnsi="Calibri"/>
          <w:b w:val="0"/>
          <w:i w:val="0"/>
          <w:color w:val="595959"/>
          <w:sz w:val="18"/>
        </w:rPr>
        <w:t>propuesta 22 por ciento; perecedero de rotación media</w:t>
      </w:r>
    </w:p>
    <w:p>
      <w:pPr>
        <w:keepNext/>
        <w:spacing w:after="20"/>
        <w:ind w:left="907"/>
      </w:pPr>
      <w:r>
        <w:rPr>
          <w:rFonts w:ascii="Calibri" w:hAnsi="Calibri"/>
          <w:b/>
          <w:i w:val="0"/>
          <w:color w:val="C9641D"/>
          <w:sz w:val="18"/>
        </w:rPr>
        <w:t xml:space="preserve">Perecederos y verdura: </w:t>
      </w:r>
      <w:r>
        <w:rPr>
          <w:rFonts w:ascii="Calibri" w:hAnsi="Calibri"/>
          <w:b w:val="0"/>
          <w:i w:val="0"/>
          <w:color w:val="595959"/>
          <w:sz w:val="18"/>
        </w:rPr>
        <w:t>propuesta 30 por ciento; alta merma</w:t>
      </w:r>
    </w:p>
    <w:p>
      <w:pPr>
        <w:keepNext/>
        <w:spacing w:after="20"/>
        <w:ind w:left="907"/>
      </w:pPr>
      <w:r>
        <w:rPr>
          <w:rFonts w:ascii="Calibri" w:hAnsi="Calibri"/>
          <w:b/>
          <w:i w:val="0"/>
          <w:color w:val="C9641D"/>
          <w:sz w:val="18"/>
        </w:rPr>
        <w:t xml:space="preserve">Desechables y plástico: </w:t>
      </w:r>
      <w:r>
        <w:rPr>
          <w:rFonts w:ascii="Calibri" w:hAnsi="Calibri"/>
          <w:b w:val="0"/>
          <w:i w:val="0"/>
          <w:color w:val="595959"/>
          <w:sz w:val="18"/>
        </w:rPr>
        <w:t>propuesta 18 por ciento (excepción); baja merma</w:t>
      </w:r>
    </w:p>
    <w:p>
      <w:pPr>
        <w:spacing w:after="100"/>
        <w:ind w:left="907"/>
      </w:pPr>
      <w:r>
        <w:rPr>
          <w:rFonts w:ascii="Calibri" w:hAnsi="Calibri"/>
          <w:b/>
          <w:i w:val="0"/>
          <w:color w:val="C9641D"/>
          <w:sz w:val="18"/>
        </w:rPr>
        <w:t xml:space="preserve">Bebidas: </w:t>
      </w:r>
      <w:r>
        <w:rPr>
          <w:rFonts w:ascii="Calibri" w:hAnsi="Calibri"/>
          <w:b w:val="0"/>
          <w:i w:val="0"/>
          <w:color w:val="595959"/>
          <w:sz w:val="18"/>
        </w:rPr>
        <w:t>propuesta 14 por ciento (excepción); marca comparable en distribuidores</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Registrar precio, ganancia y margen. </w:t>
      </w:r>
      <w:r>
        <w:rPr>
          <w:rFonts w:ascii="Calibri" w:hAnsi="Calibri"/>
          <w:b w:val="0"/>
          <w:i w:val="0"/>
          <w:color w:val="1C242E"/>
          <w:sz w:val="20"/>
        </w:rPr>
        <w:t>Dejar en FOR-CO-01 el precio de venta, la ganancia unitaria y el margen sobre compra de cada artículo, para que quede visible y auditable.</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FOR-CO-01 · columnas de precio, ganancia unitaria y margen sobre compra</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3. Actualización de precio ante cambio de costo</w:t>
      </w:r>
    </w:p>
    <w:p>
      <w:pPr>
        <w:tabs>
          <w:tab w:pos="907" w:val="left"/>
        </w:tabs>
        <w:spacing w:after="100"/>
        <w:ind w:left="907" w:hanging="680"/>
      </w:pPr>
      <w:r>
        <w:rPr>
          <w:rFonts w:ascii="Calibri" w:hAnsi="Calibri"/>
          <w:b/>
          <w:i w:val="0"/>
          <w:color w:val="C9641D"/>
          <w:sz w:val="20"/>
        </w:rPr>
        <w:t>7.3.1</w:t>
        <w:tab/>
      </w:r>
      <w:r>
        <w:rPr>
          <w:rFonts w:ascii="Calibri" w:hAnsi="Calibri"/>
          <w:b/>
          <w:i w:val="0"/>
          <w:color w:val="000000"/>
          <w:sz w:val="20"/>
        </w:rPr>
        <w:t xml:space="preserve">Detectar el cambio de costo. </w:t>
      </w:r>
      <w:r>
        <w:rPr>
          <w:rFonts w:ascii="Calibri" w:hAnsi="Calibri"/>
          <w:b w:val="0"/>
          <w:i w:val="0"/>
          <w:color w:val="1C242E"/>
          <w:sz w:val="20"/>
        </w:rPr>
        <w:t>Identificar cuando un proveedor modifica el costo, sea en la remisión del día o en la comparativa de una compra por volumen.</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Ajustar el precio dentro de la banda. </w:t>
      </w:r>
      <w:r>
        <w:rPr>
          <w:rFonts w:ascii="Calibri" w:hAnsi="Calibri"/>
          <w:b w:val="0"/>
          <w:i w:val="0"/>
          <w:color w:val="1C242E"/>
          <w:sz w:val="20"/>
        </w:rPr>
        <w:t>Si el nuevo precio respeta la banda, la Jefatura de Compras lo recalcula y lo registra en el sistema y en FOR-CO-01 antes de la siguiente venta, sin autorización adicional; en verdura, en la lista semanal. Si quedaría por debajo de la banda, pasa a la Fase 4.</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FOR-CO-01 · actualización de costo y precio</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Fase 4. Autorización de excepciones y cambios</w:t>
      </w:r>
    </w:p>
    <w:p>
      <w:pPr>
        <w:keepNext/>
        <w:tabs>
          <w:tab w:pos="907" w:val="left"/>
        </w:tabs>
        <w:spacing w:after="40"/>
        <w:ind w:left="907" w:hanging="680"/>
      </w:pPr>
      <w:r>
        <w:rPr>
          <w:rFonts w:ascii="Calibri" w:hAnsi="Calibri"/>
          <w:b/>
          <w:i w:val="0"/>
          <w:color w:val="C9641D"/>
          <w:sz w:val="20"/>
        </w:rPr>
        <w:t>7.4.1</w:t>
        <w:tab/>
      </w:r>
      <w:r>
        <w:rPr>
          <w:rFonts w:ascii="Calibri" w:hAnsi="Calibri"/>
          <w:b/>
          <w:i w:val="0"/>
          <w:color w:val="000000"/>
          <w:sz w:val="20"/>
        </w:rPr>
        <w:t xml:space="preserve">Preparar la comparativa. </w:t>
      </w:r>
      <w:r>
        <w:rPr>
          <w:rFonts w:ascii="Calibri" w:hAnsi="Calibri"/>
          <w:b w:val="0"/>
          <w:i w:val="0"/>
          <w:color w:val="1C242E"/>
          <w:sz w:val="20"/>
        </w:rPr>
        <w:t>Documentar en FOR-CO-06 el precio por debajo de la banda o el cambio de proveedor o de producto consolidado, con costo, precio, margen y el resultado de la muestra que Norawa aprueba según su rendimiento.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FOR-CO-06 · Comparativa para Cambio de Producto o Proveedor</w:t>
      </w:r>
    </w:p>
    <w:p>
      <w:pPr>
        <w:keepNext/>
        <w:tabs>
          <w:tab w:pos="907" w:val="left"/>
        </w:tabs>
        <w:spacing w:after="40"/>
        <w:ind w:left="907" w:hanging="680"/>
      </w:pPr>
      <w:r>
        <w:rPr>
          <w:rFonts w:ascii="Calibri" w:hAnsi="Calibri"/>
          <w:b/>
          <w:i w:val="0"/>
          <w:color w:val="C9641D"/>
          <w:sz w:val="20"/>
        </w:rPr>
        <w:t>7.4.2</w:t>
        <w:tab/>
      </w:r>
      <w:r>
        <w:rPr>
          <w:rFonts w:ascii="Calibri" w:hAnsi="Calibri"/>
          <w:b/>
          <w:i w:val="0"/>
          <w:color w:val="000000"/>
          <w:sz w:val="20"/>
        </w:rPr>
        <w:t xml:space="preserve">Obtener la autorización. </w:t>
      </w:r>
      <w:r>
        <w:rPr>
          <w:rFonts w:ascii="Calibri" w:hAnsi="Calibri"/>
          <w:b w:val="0"/>
          <w:i w:val="0"/>
          <w:color w:val="1C242E"/>
          <w:sz w:val="20"/>
        </w:rPr>
        <w:t>Finanzas da visto bueno en costo y margen, Norawa en rendimiento y Dirección General según el impacto. Los pisos por familia y sus excepciones menores a 20 por ciento los calibra Dirección General con Finanzas.</w:t>
      </w:r>
    </w:p>
    <w:p>
      <w:pPr>
        <w:spacing w:after="100"/>
        <w:ind w:left="907"/>
      </w:pPr>
      <w:r>
        <w:rPr>
          <w:rFonts w:ascii="Calibri" w:hAnsi="Calibri"/>
          <w:b/>
          <w:i w:val="0"/>
          <w:color w:val="C9641D"/>
          <w:sz w:val="18"/>
        </w:rPr>
        <w:t xml:space="preserve">Control: </w:t>
      </w:r>
      <w:r>
        <w:rPr>
          <w:rFonts w:ascii="Calibri" w:hAnsi="Calibri"/>
          <w:b w:val="0"/>
          <w:i w:val="0"/>
          <w:color w:val="595959"/>
          <w:sz w:val="18"/>
        </w:rPr>
        <w:t>Folios encadenados de solicitud y resolución en FOR-CO-06</w:t>
      </w:r>
    </w:p>
    <w:p>
      <w:pPr>
        <w:keepNext/>
        <w:spacing w:before="200" w:after="80"/>
        <w:outlineLvl w:val="1"/>
      </w:pPr>
      <w:r>
        <w:rPr>
          <w:rFonts w:ascii="Calibri" w:hAnsi="Calibri"/>
          <w:b/>
          <w:i w:val="0"/>
          <w:color w:val="C9641D"/>
          <w:sz w:val="21"/>
        </w:rPr>
        <w:t xml:space="preserve">7.5 </w:t>
      </w:r>
      <w:r>
        <w:rPr>
          <w:rFonts w:ascii="Calibri" w:hAnsi="Calibri"/>
          <w:b/>
          <w:i w:val="0"/>
          <w:color w:val="000000"/>
          <w:sz w:val="21"/>
        </w:rPr>
        <w:t>Fase 5. Auditoría del margen</w:t>
      </w:r>
    </w:p>
    <w:p>
      <w:pPr>
        <w:keepNext/>
        <w:tabs>
          <w:tab w:pos="907" w:val="left"/>
        </w:tabs>
        <w:spacing w:after="40"/>
        <w:ind w:left="907" w:hanging="680"/>
      </w:pPr>
      <w:r>
        <w:rPr>
          <w:rFonts w:ascii="Calibri" w:hAnsi="Calibri"/>
          <w:b/>
          <w:i w:val="0"/>
          <w:color w:val="C9641D"/>
          <w:sz w:val="20"/>
        </w:rPr>
        <w:t>7.5.1</w:t>
        <w:tab/>
      </w:r>
      <w:r>
        <w:rPr>
          <w:rFonts w:ascii="Calibri" w:hAnsi="Calibri"/>
          <w:b/>
          <w:i w:val="0"/>
          <w:color w:val="000000"/>
          <w:sz w:val="20"/>
        </w:rPr>
        <w:t xml:space="preserve">Comparar margen real contra la banda. </w:t>
      </w:r>
      <w:r>
        <w:rPr>
          <w:rFonts w:ascii="Calibri" w:hAnsi="Calibri"/>
          <w:b w:val="0"/>
          <w:i w:val="0"/>
          <w:color w:val="1C242E"/>
          <w:sz w:val="20"/>
        </w:rPr>
        <w:t>Cada semana en verdura, con la lista de precios semanal, y cada mes en el resto con FOR-CO-01, comparar el margen real de venta contra la banda o el piso autorizado y revisar los costos desactualizados.</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FOR-CO-01 y FOR-CO-10 · base del margen real por artículo</w:t>
      </w:r>
    </w:p>
    <w:p>
      <w:pPr>
        <w:keepNext/>
        <w:tabs>
          <w:tab w:pos="907" w:val="left"/>
        </w:tabs>
        <w:spacing w:after="40"/>
        <w:ind w:left="907" w:hanging="680"/>
      </w:pPr>
      <w:r>
        <w:rPr>
          <w:rFonts w:ascii="Calibri" w:hAnsi="Calibri"/>
          <w:b/>
          <w:i w:val="0"/>
          <w:color w:val="C9641D"/>
          <w:sz w:val="20"/>
        </w:rPr>
        <w:t>7.5.2</w:t>
        <w:tab/>
      </w:r>
      <w:r>
        <w:rPr>
          <w:rFonts w:ascii="Calibri" w:hAnsi="Calibri"/>
          <w:b/>
          <w:i w:val="0"/>
          <w:color w:val="000000"/>
          <w:sz w:val="20"/>
        </w:rPr>
        <w:t xml:space="preserve">Corregir y entregar la bitácora a Finanzas. </w:t>
      </w:r>
      <w:r>
        <w:rPr>
          <w:rFonts w:ascii="Calibri" w:hAnsi="Calibri"/>
          <w:b w:val="0"/>
          <w:i w:val="0"/>
          <w:color w:val="1C242E"/>
          <w:sz w:val="20"/>
        </w:rPr>
        <w:t>Listar en la bitácora de margen los artículos por debajo de la banda o del piso y los costos vencidos, corregir con FOR-CO-06 lo que requiera autorización y entregar la bitácora a Finanzas, que audita después.</w:t>
      </w:r>
    </w:p>
    <w:p>
      <w:pPr>
        <w:spacing w:after="100"/>
        <w:ind w:left="907"/>
      </w:pPr>
      <w:r>
        <w:rPr>
          <w:rFonts w:ascii="Calibri" w:hAnsi="Calibri"/>
          <w:b/>
          <w:i w:val="0"/>
          <w:color w:val="C9641D"/>
          <w:sz w:val="18"/>
        </w:rPr>
        <w:t xml:space="preserve">Control: </w:t>
      </w:r>
      <w:r>
        <w:rPr>
          <w:rFonts w:ascii="Calibri" w:hAnsi="Calibri"/>
          <w:b w:val="0"/>
          <w:i w:val="0"/>
          <w:color w:val="595959"/>
          <w:sz w:val="18"/>
        </w:rPr>
        <w:t>Bitácora de margen: semanal en verdura, mensual en el resto</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costos, precios y márgenes</w:t>
      </w:r>
    </w:p>
    <w:p>
      <w:pPr>
        <w:keepNext/>
        <w:jc w:val="center"/>
      </w:pPr>
      <w:r>
        <w:drawing>
          <wp:inline xmlns:a="http://schemas.openxmlformats.org/drawingml/2006/main" xmlns:pic="http://schemas.openxmlformats.org/drawingml/2006/picture">
            <wp:extent cx="2486273" cy="6480000"/>
            <wp:docPr id="1" name="Picture 1"/>
            <wp:cNvGraphicFramePr>
              <a:graphicFrameLocks noChangeAspect="1"/>
            </wp:cNvGraphicFramePr>
            <a:graphic>
              <a:graphicData uri="http://schemas.openxmlformats.org/drawingml/2006/picture">
                <pic:pic>
                  <pic:nvPicPr>
                    <pic:cNvPr id="0" name="costos-precios-margenes.png"/>
                    <pic:cNvPicPr/>
                  </pic:nvPicPr>
                  <pic:blipFill>
                    <a:blip r:embed="rId11"/>
                    <a:stretch>
                      <a:fillRect/>
                    </a:stretch>
                  </pic:blipFill>
                  <pic:spPr>
                    <a:xfrm>
                      <a:off x="0" y="0"/>
                      <a:ext cx="2486273" cy="6480000"/>
                    </a:xfrm>
                    <a:prstGeom prst="rect"/>
                  </pic:spPr>
                </pic:pic>
              </a:graphicData>
            </a:graphic>
          </wp:inline>
        </w:drawing>
      </w:r>
    </w:p>
    <w:p>
      <w:pPr>
        <w:spacing w:after="120"/>
        <w:jc w:val="center"/>
      </w:pPr>
      <w:r>
        <w:rPr>
          <w:rFonts w:ascii="Calibri" w:hAnsi="Calibri"/>
          <w:b w:val="0"/>
          <w:i/>
          <w:color w:val="595959"/>
          <w:sz w:val="17"/>
        </w:rPr>
        <w:t>De registrar el costo de compra a auditar el margen real: verdura cada semana, resto cada mes.</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La regla vigente es la banda de 20 a 30 por ciento de margen sobre el costo de compra que opera la Jefatura de Compras. La tabla de pisos por familia es una propuesta de DETA que Dirección General calibra con Finanzas usando el costeo real y la investigación de mercado del área comercial; los pisos menores a 20 por ciento solo operan como excepción autorizada. La rotación de inventario es indicador de análisis de Finanzas.</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Agosto 2026</w:t>
            </w:r>
          </w:p>
        </w:tc>
        <w:tc>
          <w:tcPr>
            <w:tcW w:type="dxa" w:w="5712"/>
          </w:tcPr>
          <w:p>
            <w:pPr>
              <w:spacing w:after="0"/>
            </w:pPr>
            <w:r/>
            <w:r>
              <w:rPr>
                <w:rFonts w:ascii="Calibri" w:hAnsi="Calibri"/>
                <w:b w:val="0"/>
                <w:i w:val="0"/>
                <w:color w:val="1C242E"/>
                <w:sz w:val="19"/>
              </w:rPr>
              <w:t>Emisión inicial a partir del levantamiento del proceso de compras.</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22-10-2026</w:t>
            </w:r>
          </w:p>
        </w:tc>
        <w:tc>
          <w:tcPr>
            <w:tcW w:type="dxa" w:w="5712"/>
          </w:tcPr>
          <w:p>
            <w:pPr>
              <w:spacing w:after="0"/>
            </w:pPr>
            <w:r/>
            <w:r>
              <w:rPr>
                <w:rFonts w:ascii="Calibri" w:hAnsi="Calibri"/>
                <w:b w:val="0"/>
                <w:i w:val="0"/>
                <w:color w:val="1C242E"/>
                <w:sz w:val="19"/>
              </w:rPr>
              <w:t>La banda de 20 a 30 por ciento sobre el costo de compra queda como regla vigente y la tabla por familia como propuesta a calibrar; se fijan tres niveles de autorización, auditoría semanal en verdura y mensual en el resto con bitácora a Finanzas, y Finanzas valida el costo.</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Jefatura de Compras</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Compras | PRO-CO-05 V1.1</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Costos, Precios de Venta y Márgenes</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PRO-CO-05</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1.1</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Agosto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22-10-2026</w:t>
          </w:r>
        </w:p>
      </w:tc>
    </w:tr>
    <w:tr>
      <w:tc>
        <w:tcPr>
          <w:tcW w:type="dxa" w:w="2244"/>
          <w:vMerge/>
        </w:tcPr>
        <w:p/>
      </w:tc>
      <w:tc>
        <w:tcPr>
          <w:tcW w:type="dxa" w:w="4080"/>
        </w:tcPr>
        <w:p>
          <w:pPr>
            <w:spacing w:after="0"/>
            <w:jc w:val="center"/>
          </w:pPr>
          <w:r/>
          <w:r>
            <w:rPr>
              <w:rFonts w:ascii="Calibri" w:hAnsi="Calibri"/>
              <w:b/>
              <w:i w:val="0"/>
              <w:color w:val="C9641D"/>
              <w:sz w:val="16"/>
            </w:rPr>
            <w:t>Procedimiento de Compras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Jefatura de Compras</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Octubre 2026</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PRO-CO-05 Costos, Precios de Venta y Márgenes</dc:title>
  <dc:subject>Cómo se registra el costo de compra, se fija el precio dentro de la banda de margen sobre compra y se audita el margen real</dc:subject>
  <dc:creator>DETA Consultores</dc:creator>
  <cp:keywords/>
  <dc:description>Grupo DISAL | Procedimiento de Compras | V1.1</dc:description>
  <cp:lastModifiedBy/>
  <cp:revision>1</cp:revision>
  <dcterms:created xsi:type="dcterms:W3CDTF">2013-12-23T23:15:00Z</dcterms:created>
  <dcterms:modified xsi:type="dcterms:W3CDTF">2013-12-23T23:15:00Z</dcterms:modified>
  <cp:category/>
</cp:coreProperties>
</file>