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3450"/>
        <w:gridCol w:w="3450"/>
        <w:gridCol w:w="3450"/>
        <w:gridCol w:w="3450"/>
      </w:tblGrid>
      <w:tr>
        <w:tc>
          <w:tcPr>
            <w:tcW w:type="dxa" w:w="3036"/>
            <w:vMerge w:val="restart"/>
          </w:tcPr>
          <w:p>
            <w:pPr>
              <w:jc w:val="center"/>
            </w:pPr>
            <w:r/>
            <w:r>
              <w:drawing>
                <wp:inline xmlns:a="http://schemas.openxmlformats.org/drawingml/2006/main" xmlns:pic="http://schemas.openxmlformats.org/drawingml/2006/picture">
                  <wp:extent cx="1152000" cy="480114"/>
                  <wp:docPr id="1" name="Picture 1"/>
                  <wp:cNvGraphicFramePr>
                    <a:graphicFrameLocks noChangeAspect="1"/>
                  </wp:cNvGraphicFramePr>
                  <a:graphic>
                    <a:graphicData uri="http://schemas.openxmlformats.org/drawingml/2006/picture">
                      <pic:pic>
                        <pic:nvPicPr>
                          <pic:cNvPr id="0" name="Logo principal.png"/>
                          <pic:cNvPicPr/>
                        </pic:nvPicPr>
                        <pic:blipFill>
                          <a:blip r:embed="rId9"/>
                          <a:stretch>
                            <a:fillRect/>
                          </a:stretch>
                        </pic:blipFill>
                        <pic:spPr>
                          <a:xfrm>
                            <a:off x="0" y="0"/>
                            <a:ext cx="1152000" cy="480114"/>
                          </a:xfrm>
                          <a:prstGeom prst="rect"/>
                        </pic:spPr>
                      </pic:pic>
                    </a:graphicData>
                  </a:graphic>
                </wp:inline>
              </w:drawing>
            </w:r>
          </w:p>
        </w:tc>
        <w:tc>
          <w:tcPr>
            <w:tcW w:type="dxa" w:w="3588"/>
          </w:tcPr>
          <w:p>
            <w:r/>
            <w:r>
              <w:rPr>
                <w:rFonts w:ascii="Calibri" w:hAnsi="Calibri"/>
                <w:b w:val="0"/>
                <w:color w:val="595959"/>
                <w:sz w:val="16"/>
              </w:rPr>
              <w:t>Documento: Formato de Compras</w:t>
            </w:r>
          </w:p>
        </w:tc>
        <w:tc>
          <w:tcPr>
            <w:tcW w:type="dxa" w:w="4692"/>
            <w:vMerge w:val="restart"/>
            <w:shd w:val="clear" w:fill="F2F2F2"/>
          </w:tcPr>
          <w:p>
            <w:pPr>
              <w:jc w:val="center"/>
            </w:pPr>
            <w:r/>
            <w:r>
              <w:rPr>
                <w:rFonts w:ascii="Georgia" w:hAnsi="Georgia"/>
                <w:b/>
                <w:sz w:val="24"/>
              </w:rPr>
              <w:t>Comparativa para Cambio de Producto o Proveedor</w:t>
            </w:r>
          </w:p>
        </w:tc>
        <w:tc>
          <w:tcPr>
            <w:tcW w:type="dxa" w:w="2484"/>
          </w:tcPr>
          <w:p>
            <w:r/>
            <w:r>
              <w:rPr>
                <w:rFonts w:ascii="Calibri" w:hAnsi="Calibri"/>
                <w:b w:val="0"/>
                <w:color w:val="595959"/>
                <w:sz w:val="16"/>
              </w:rPr>
              <w:t>Revisión: 1.0</w:t>
            </w:r>
          </w:p>
        </w:tc>
      </w:tr>
      <w:tr>
        <w:tc>
          <w:tcPr>
            <w:tcW w:type="dxa" w:w="3036"/>
            <w:vMerge/>
          </w:tcPr>
          <w:p/>
        </w:tc>
        <w:tc>
          <w:tcPr>
            <w:tcW w:type="dxa" w:w="3588"/>
          </w:tcPr>
          <w:p>
            <w:r/>
            <w:r>
              <w:rPr>
                <w:rFonts w:ascii="Calibri" w:hAnsi="Calibri"/>
                <w:b/>
                <w:sz w:val="18"/>
              </w:rPr>
              <w:t>Código: FOR-CO-06</w:t>
            </w:r>
          </w:p>
        </w:tc>
        <w:tc>
          <w:tcPr>
            <w:tcW w:type="dxa" w:w="4692"/>
            <w:vMerge/>
          </w:tcPr>
          <w:p/>
        </w:tc>
        <w:tc>
          <w:tcPr>
            <w:tcW w:type="dxa" w:w="2484"/>
          </w:tcPr>
          <w:p>
            <w:r/>
            <w:r>
              <w:rPr>
                <w:rFonts w:ascii="Calibri" w:hAnsi="Calibri"/>
                <w:b w:val="0"/>
                <w:color w:val="595959"/>
                <w:sz w:val="16"/>
              </w:rPr>
              <w:t>Fecha: 29-08-2026</w:t>
            </w:r>
          </w:p>
        </w:tc>
      </w:tr>
    </w:tbl>
    <w:p>
      <w:pPr>
        <w:spacing w:before="40" w:after="120"/>
        <w:pBdr>
          <w:bottom w:val="single" w:sz="18" w:color="FB803A"/>
        </w:pBdr>
      </w:pPr>
    </w:p>
    <w:p>
      <w:pPr>
        <w:spacing w:after="80"/>
      </w:pPr>
      <w:r>
        <w:rPr>
          <w:b w:val="0"/>
          <w:i/>
          <w:sz w:val="18"/>
        </w:rPr>
        <w:t>Registrar cada propuesta de cambio de un producto o proveedor consolidado. Llenar un formato por cada cambio evaluado. Comparar la opción actual contra hasta dos propuestas antes de resolver. El folio de solicitud queda ligado al folio de resolución: ninguna decisión de cambio procede sin ambos folios registrados.</w:t>
      </w:r>
    </w:p>
    <w:p>
      <w:pPr>
        <w:keepNext/>
        <w:spacing w:before="200" w:after="80"/>
        <w:pBdr>
          <w:bottom w:val="single" w:sz="8" w:color="FB803A"/>
        </w:pBdr>
      </w:pPr>
      <w:r>
        <w:rPr>
          <w:rFonts w:ascii="Georgia" w:hAnsi="Georgia"/>
          <w:b/>
          <w:color w:val="000000"/>
          <w:sz w:val="20"/>
        </w:rPr>
        <w:t>01 · IDENTIFICACIÓN DE LA SOLICITUD</w:t>
      </w:r>
    </w:p>
    <w:tbl>
      <w:tblPr>
        <w:tblW w:type="auto" w:w="0"/>
        <w:tblLook w:firstColumn="1" w:firstRow="1" w:lastColumn="0" w:lastRow="0" w:noHBand="0" w:noVBand="1" w:val="04A0"/>
      </w:tblPr>
      <w:tblGrid>
        <w:gridCol w:w="6900"/>
        <w:gridCol w:w="6900"/>
      </w:tblGrid>
      <w:tr>
        <w:tc>
          <w:tcPr>
            <w:tcW w:type="dxa" w:w="6900"/>
          </w:tcPr>
          <w:p>
            <w:r/>
            <w:r>
              <w:rPr>
                <w:b/>
                <w:sz w:val="20"/>
              </w:rPr>
              <w:t xml:space="preserve">Folio de solicitud: </w:t>
            </w:r>
            <w:r>
              <w:rPr>
                <w:sz w:val="20"/>
              </w:rPr>
              <w:t>________________</w:t>
            </w:r>
          </w:p>
        </w:tc>
        <w:tc>
          <w:tcPr>
            <w:tcW w:type="dxa" w:w="6900"/>
          </w:tcPr>
          <w:p>
            <w:r/>
            <w:r>
              <w:rPr>
                <w:b/>
                <w:sz w:val="20"/>
              </w:rPr>
              <w:t xml:space="preserve">Fecha: </w:t>
            </w:r>
            <w:r>
              <w:rPr>
                <w:sz w:val="20"/>
              </w:rPr>
              <w:t>_____________________________</w:t>
            </w:r>
          </w:p>
        </w:tc>
      </w:tr>
    </w:tbl>
    <w:tbl>
      <w:tblPr>
        <w:tblW w:type="auto" w:w="0"/>
        <w:tblLook w:firstColumn="1" w:firstRow="1" w:lastColumn="0" w:lastRow="0" w:noHBand="0" w:noVBand="1" w:val="04A0"/>
      </w:tblPr>
      <w:tblGrid>
        <w:gridCol w:w="6900"/>
        <w:gridCol w:w="6900"/>
      </w:tblGrid>
      <w:tr>
        <w:tc>
          <w:tcPr>
            <w:tcW w:type="dxa" w:w="6900"/>
          </w:tcPr>
          <w:p>
            <w:r/>
            <w:r>
              <w:rPr>
                <w:b/>
                <w:sz w:val="20"/>
              </w:rPr>
              <w:t xml:space="preserve">Solicita (Compras): </w:t>
            </w:r>
            <w:r>
              <w:rPr>
                <w:sz w:val="20"/>
              </w:rPr>
              <w:t>________________</w:t>
            </w:r>
          </w:p>
        </w:tc>
        <w:tc>
          <w:tcPr>
            <w:tcW w:type="dxa" w:w="6900"/>
          </w:tcPr>
          <w:p>
            <w:r/>
            <w:r>
              <w:rPr>
                <w:b/>
                <w:sz w:val="20"/>
              </w:rPr>
              <w:t xml:space="preserve">Producto o proveedor a evaluar: </w:t>
            </w:r>
            <w:r>
              <w:rPr>
                <w:sz w:val="20"/>
              </w:rPr>
              <w:t>__________</w:t>
            </w:r>
          </w:p>
        </w:tc>
      </w:tr>
    </w:tbl>
    <w:p>
      <w:pPr>
        <w:spacing w:after="120"/>
      </w:pPr>
      <w:r>
        <w:rPr>
          <w:b/>
          <w:sz w:val="20"/>
        </w:rPr>
        <w:t xml:space="preserve">Motivo del cambio: </w:t>
      </w:r>
      <w:r>
        <w:rPr>
          <w:sz w:val="20"/>
        </w:rPr>
        <w:t>______________________________________________________________________________</w:t>
      </w:r>
    </w:p>
    <w:p>
      <w:pPr>
        <w:spacing w:after="120"/>
      </w:pPr>
      <w:r>
        <w:rPr>
          <w:sz w:val="20"/>
        </w:rPr>
        <w:t>_______________________________________________________________________________________________</w:t>
      </w:r>
    </w:p>
    <w:p>
      <w:pPr>
        <w:keepNext/>
        <w:spacing w:before="200" w:after="80"/>
        <w:pBdr>
          <w:bottom w:val="single" w:sz="8" w:color="FB803A"/>
        </w:pBdr>
      </w:pPr>
      <w:r>
        <w:rPr>
          <w:rFonts w:ascii="Georgia" w:hAnsi="Georgia"/>
          <w:b/>
          <w:color w:val="000000"/>
          <w:sz w:val="20"/>
        </w:rPr>
        <w:t>02 · COMPARATIVA</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3450"/>
        <w:gridCol w:w="3450"/>
        <w:gridCol w:w="3450"/>
        <w:gridCol w:w="3450"/>
      </w:tblGrid>
      <w:tr>
        <w:tc>
          <w:tcPr>
            <w:tcW w:type="dxa" w:w="3036"/>
            <w:shd w:val="clear" w:fill="000000"/>
          </w:tcPr>
          <w:p>
            <w:pPr>
              <w:jc w:val="center"/>
            </w:pPr>
            <w:r/>
            <w:r>
              <w:rPr>
                <w:rFonts w:ascii="Calibri" w:hAnsi="Calibri"/>
                <w:b/>
                <w:color w:val="FFFFFF"/>
                <w:sz w:val="17"/>
              </w:rPr>
              <w:t>Concepto</w:t>
            </w:r>
          </w:p>
        </w:tc>
        <w:tc>
          <w:tcPr>
            <w:tcW w:type="dxa" w:w="3588"/>
            <w:shd w:val="clear" w:fill="000000"/>
          </w:tcPr>
          <w:p>
            <w:pPr>
              <w:jc w:val="center"/>
            </w:pPr>
            <w:r/>
            <w:r>
              <w:rPr>
                <w:rFonts w:ascii="Calibri" w:hAnsi="Calibri"/>
                <w:b/>
                <w:color w:val="FFFFFF"/>
                <w:sz w:val="17"/>
              </w:rPr>
              <w:t>Actual</w:t>
            </w:r>
          </w:p>
        </w:tc>
        <w:tc>
          <w:tcPr>
            <w:tcW w:type="dxa" w:w="3588"/>
            <w:shd w:val="clear" w:fill="000000"/>
          </w:tcPr>
          <w:p>
            <w:pPr>
              <w:jc w:val="center"/>
            </w:pPr>
            <w:r/>
            <w:r>
              <w:rPr>
                <w:rFonts w:ascii="Calibri" w:hAnsi="Calibri"/>
                <w:b/>
                <w:color w:val="FFFFFF"/>
                <w:sz w:val="17"/>
              </w:rPr>
              <w:t>Propuesta A</w:t>
            </w:r>
          </w:p>
        </w:tc>
        <w:tc>
          <w:tcPr>
            <w:tcW w:type="dxa" w:w="3588"/>
            <w:shd w:val="clear" w:fill="000000"/>
          </w:tcPr>
          <w:p>
            <w:pPr>
              <w:jc w:val="center"/>
            </w:pPr>
            <w:r/>
            <w:r>
              <w:rPr>
                <w:rFonts w:ascii="Calibri" w:hAnsi="Calibri"/>
                <w:b/>
                <w:color w:val="FFFFFF"/>
                <w:sz w:val="17"/>
              </w:rPr>
              <w:t>Propuesta B</w:t>
            </w:r>
          </w:p>
        </w:tc>
      </w:tr>
      <w:tr>
        <w:tc>
          <w:tcPr>
            <w:tcW w:type="dxa" w:w="3036"/>
          </w:tcPr>
          <w:p>
            <w:r/>
            <w:r>
              <w:rPr>
                <w:rFonts w:ascii="Calibri" w:hAnsi="Calibri"/>
                <w:b w:val="0"/>
                <w:sz w:val="19"/>
              </w:rPr>
              <w:t>Proveedor</w:t>
            </w:r>
          </w:p>
        </w:tc>
        <w:tc>
          <w:tcPr>
            <w:tcW w:type="dxa" w:w="3588"/>
          </w:tcPr>
          <w:p>
            <w:r/>
            <w:r>
              <w:rPr>
                <w:rFonts w:ascii="Calibri" w:hAnsi="Calibri"/>
                <w:b w:val="0"/>
                <w:sz w:val="19"/>
              </w:rPr>
            </w:r>
          </w:p>
        </w:tc>
        <w:tc>
          <w:tcPr>
            <w:tcW w:type="dxa" w:w="3588"/>
          </w:tcPr>
          <w:p>
            <w:r/>
            <w:r>
              <w:rPr>
                <w:rFonts w:ascii="Calibri" w:hAnsi="Calibri"/>
                <w:b w:val="0"/>
                <w:sz w:val="19"/>
              </w:rPr>
            </w:r>
          </w:p>
        </w:tc>
        <w:tc>
          <w:tcPr>
            <w:tcW w:type="dxa" w:w="3588"/>
          </w:tcPr>
          <w:p>
            <w:r/>
            <w:r>
              <w:rPr>
                <w:rFonts w:ascii="Calibri" w:hAnsi="Calibri"/>
                <w:b w:val="0"/>
                <w:sz w:val="19"/>
              </w:rPr>
            </w:r>
          </w:p>
        </w:tc>
      </w:tr>
      <w:tr>
        <w:tc>
          <w:tcPr>
            <w:tcW w:type="dxa" w:w="3036"/>
          </w:tcPr>
          <w:p>
            <w:r/>
            <w:r>
              <w:rPr>
                <w:rFonts w:ascii="Calibri" w:hAnsi="Calibri"/>
                <w:b w:val="0"/>
                <w:sz w:val="19"/>
              </w:rPr>
              <w:t>Costo unitario</w:t>
            </w:r>
          </w:p>
        </w:tc>
        <w:tc>
          <w:tcPr>
            <w:tcW w:type="dxa" w:w="3588"/>
          </w:tcPr>
          <w:p>
            <w:r/>
            <w:r>
              <w:rPr>
                <w:rFonts w:ascii="Calibri" w:hAnsi="Calibri"/>
                <w:b w:val="0"/>
                <w:sz w:val="19"/>
              </w:rPr>
            </w:r>
          </w:p>
        </w:tc>
        <w:tc>
          <w:tcPr>
            <w:tcW w:type="dxa" w:w="3588"/>
          </w:tcPr>
          <w:p>
            <w:r/>
            <w:r>
              <w:rPr>
                <w:rFonts w:ascii="Calibri" w:hAnsi="Calibri"/>
                <w:b w:val="0"/>
                <w:sz w:val="19"/>
              </w:rPr>
            </w:r>
          </w:p>
        </w:tc>
        <w:tc>
          <w:tcPr>
            <w:tcW w:type="dxa" w:w="3588"/>
          </w:tcPr>
          <w:p>
            <w:r/>
            <w:r>
              <w:rPr>
                <w:rFonts w:ascii="Calibri" w:hAnsi="Calibri"/>
                <w:b w:val="0"/>
                <w:sz w:val="19"/>
              </w:rPr>
            </w:r>
          </w:p>
        </w:tc>
      </w:tr>
      <w:tr>
        <w:tc>
          <w:tcPr>
            <w:tcW w:type="dxa" w:w="3036"/>
          </w:tcPr>
          <w:p>
            <w:r/>
            <w:r>
              <w:rPr>
                <w:rFonts w:ascii="Calibri" w:hAnsi="Calibri"/>
                <w:b w:val="0"/>
                <w:sz w:val="19"/>
              </w:rPr>
              <w:t>Precio de venta</w:t>
            </w:r>
          </w:p>
        </w:tc>
        <w:tc>
          <w:tcPr>
            <w:tcW w:type="dxa" w:w="3588"/>
          </w:tcPr>
          <w:p>
            <w:r/>
            <w:r>
              <w:rPr>
                <w:rFonts w:ascii="Calibri" w:hAnsi="Calibri"/>
                <w:b w:val="0"/>
                <w:sz w:val="19"/>
              </w:rPr>
            </w:r>
          </w:p>
        </w:tc>
        <w:tc>
          <w:tcPr>
            <w:tcW w:type="dxa" w:w="3588"/>
          </w:tcPr>
          <w:p>
            <w:r/>
            <w:r>
              <w:rPr>
                <w:rFonts w:ascii="Calibri" w:hAnsi="Calibri"/>
                <w:b w:val="0"/>
                <w:sz w:val="19"/>
              </w:rPr>
            </w:r>
          </w:p>
        </w:tc>
        <w:tc>
          <w:tcPr>
            <w:tcW w:type="dxa" w:w="3588"/>
          </w:tcPr>
          <w:p>
            <w:r/>
            <w:r>
              <w:rPr>
                <w:rFonts w:ascii="Calibri" w:hAnsi="Calibri"/>
                <w:b w:val="0"/>
                <w:sz w:val="19"/>
              </w:rPr>
            </w:r>
          </w:p>
        </w:tc>
      </w:tr>
      <w:tr>
        <w:tc>
          <w:tcPr>
            <w:tcW w:type="dxa" w:w="3036"/>
          </w:tcPr>
          <w:p>
            <w:r/>
            <w:r>
              <w:rPr>
                <w:rFonts w:ascii="Calibri" w:hAnsi="Calibri"/>
                <w:b w:val="0"/>
                <w:sz w:val="19"/>
              </w:rPr>
              <w:t>Margen</w:t>
            </w:r>
          </w:p>
        </w:tc>
        <w:tc>
          <w:tcPr>
            <w:tcW w:type="dxa" w:w="3588"/>
          </w:tcPr>
          <w:p>
            <w:r/>
            <w:r>
              <w:rPr>
                <w:rFonts w:ascii="Calibri" w:hAnsi="Calibri"/>
                <w:b w:val="0"/>
                <w:sz w:val="19"/>
              </w:rPr>
            </w:r>
          </w:p>
        </w:tc>
        <w:tc>
          <w:tcPr>
            <w:tcW w:type="dxa" w:w="3588"/>
          </w:tcPr>
          <w:p>
            <w:r/>
            <w:r>
              <w:rPr>
                <w:rFonts w:ascii="Calibri" w:hAnsi="Calibri"/>
                <w:b w:val="0"/>
                <w:sz w:val="19"/>
              </w:rPr>
            </w:r>
          </w:p>
        </w:tc>
        <w:tc>
          <w:tcPr>
            <w:tcW w:type="dxa" w:w="3588"/>
          </w:tcPr>
          <w:p>
            <w:r/>
            <w:r>
              <w:rPr>
                <w:rFonts w:ascii="Calibri" w:hAnsi="Calibri"/>
                <w:b w:val="0"/>
                <w:sz w:val="19"/>
              </w:rPr>
            </w:r>
          </w:p>
        </w:tc>
      </w:tr>
      <w:tr>
        <w:tc>
          <w:tcPr>
            <w:tcW w:type="dxa" w:w="3036"/>
          </w:tcPr>
          <w:p>
            <w:r/>
            <w:r>
              <w:rPr>
                <w:rFonts w:ascii="Calibri" w:hAnsi="Calibri"/>
                <w:b w:val="0"/>
                <w:sz w:val="19"/>
              </w:rPr>
              <w:t>Resultado de muestra / rendimiento</w:t>
            </w:r>
          </w:p>
        </w:tc>
        <w:tc>
          <w:tcPr>
            <w:tcW w:type="dxa" w:w="3588"/>
          </w:tcPr>
          <w:p>
            <w:r/>
            <w:r>
              <w:rPr>
                <w:rFonts w:ascii="Calibri" w:hAnsi="Calibri"/>
                <w:b w:val="0"/>
                <w:sz w:val="19"/>
              </w:rPr>
            </w:r>
          </w:p>
        </w:tc>
        <w:tc>
          <w:tcPr>
            <w:tcW w:type="dxa" w:w="3588"/>
          </w:tcPr>
          <w:p>
            <w:r/>
            <w:r>
              <w:rPr>
                <w:rFonts w:ascii="Calibri" w:hAnsi="Calibri"/>
                <w:b w:val="0"/>
                <w:sz w:val="19"/>
              </w:rPr>
            </w:r>
          </w:p>
        </w:tc>
        <w:tc>
          <w:tcPr>
            <w:tcW w:type="dxa" w:w="3588"/>
          </w:tcPr>
          <w:p>
            <w:r/>
            <w:r>
              <w:rPr>
                <w:rFonts w:ascii="Calibri" w:hAnsi="Calibri"/>
                <w:b w:val="0"/>
                <w:sz w:val="19"/>
              </w:rPr>
            </w:r>
          </w:p>
        </w:tc>
      </w:tr>
      <w:tr>
        <w:tc>
          <w:tcPr>
            <w:tcW w:type="dxa" w:w="3036"/>
          </w:tcPr>
          <w:p>
            <w:r/>
            <w:r>
              <w:rPr>
                <w:rFonts w:ascii="Calibri" w:hAnsi="Calibri"/>
                <w:b w:val="0"/>
                <w:sz w:val="19"/>
              </w:rPr>
              <w:t>Condiciones de crédito</w:t>
            </w:r>
          </w:p>
        </w:tc>
        <w:tc>
          <w:tcPr>
            <w:tcW w:type="dxa" w:w="3588"/>
          </w:tcPr>
          <w:p>
            <w:r/>
            <w:r>
              <w:rPr>
                <w:rFonts w:ascii="Calibri" w:hAnsi="Calibri"/>
                <w:b w:val="0"/>
                <w:sz w:val="19"/>
              </w:rPr>
            </w:r>
          </w:p>
        </w:tc>
        <w:tc>
          <w:tcPr>
            <w:tcW w:type="dxa" w:w="3588"/>
          </w:tcPr>
          <w:p>
            <w:r/>
            <w:r>
              <w:rPr>
                <w:rFonts w:ascii="Calibri" w:hAnsi="Calibri"/>
                <w:b w:val="0"/>
                <w:sz w:val="19"/>
              </w:rPr>
            </w:r>
          </w:p>
        </w:tc>
        <w:tc>
          <w:tcPr>
            <w:tcW w:type="dxa" w:w="3588"/>
          </w:tcPr>
          <w:p>
            <w:r/>
            <w:r>
              <w:rPr>
                <w:rFonts w:ascii="Calibri" w:hAnsi="Calibri"/>
                <w:b w:val="0"/>
                <w:sz w:val="19"/>
              </w:rPr>
            </w:r>
          </w:p>
        </w:tc>
      </w:tr>
      <w:tr>
        <w:tc>
          <w:tcPr>
            <w:tcW w:type="dxa" w:w="3036"/>
          </w:tcPr>
          <w:p>
            <w:r/>
            <w:r>
              <w:rPr>
                <w:rFonts w:ascii="Calibri" w:hAnsi="Calibri"/>
                <w:b w:val="0"/>
                <w:sz w:val="19"/>
              </w:rPr>
              <w:t>Tiempo de entrega</w:t>
            </w:r>
          </w:p>
        </w:tc>
        <w:tc>
          <w:tcPr>
            <w:tcW w:type="dxa" w:w="3588"/>
          </w:tcPr>
          <w:p>
            <w:r/>
            <w:r>
              <w:rPr>
                <w:rFonts w:ascii="Calibri" w:hAnsi="Calibri"/>
                <w:b w:val="0"/>
                <w:sz w:val="19"/>
              </w:rPr>
            </w:r>
          </w:p>
        </w:tc>
        <w:tc>
          <w:tcPr>
            <w:tcW w:type="dxa" w:w="3588"/>
          </w:tcPr>
          <w:p>
            <w:r/>
            <w:r>
              <w:rPr>
                <w:rFonts w:ascii="Calibri" w:hAnsi="Calibri"/>
                <w:b w:val="0"/>
                <w:sz w:val="19"/>
              </w:rPr>
            </w:r>
          </w:p>
        </w:tc>
        <w:tc>
          <w:tcPr>
            <w:tcW w:type="dxa" w:w="3588"/>
          </w:tcPr>
          <w:p>
            <w:r/>
            <w:r>
              <w:rPr>
                <w:rFonts w:ascii="Calibri" w:hAnsi="Calibri"/>
                <w:b w:val="0"/>
                <w:sz w:val="19"/>
              </w:rPr>
            </w:r>
          </w:p>
        </w:tc>
      </w:tr>
    </w:tbl>
    <w:tbl>
      <w:tblPr>
        <w:tblW w:type="auto" w:w="0"/>
        <w:tblLook w:firstColumn="1" w:firstRow="1" w:lastColumn="0" w:lastRow="0" w:noHBand="0" w:noVBand="1" w:val="04A0"/>
        <w:tblBorders>
          <w:left w:val="single" w:sz="16" w:color="FB803A"/>
        </w:tblBorders>
      </w:tblPr>
      <w:tblGrid>
        <w:gridCol w:w="13800"/>
      </w:tblGrid>
      <w:tr>
        <w:tc>
          <w:tcPr>
            <w:tcW w:type="dxa" w:w="13800"/>
            <w:shd w:val="clear" w:fill="FFF3E9"/>
          </w:tcPr>
          <w:p>
            <w:r/>
            <w:r>
              <w:rPr>
                <w:rFonts w:ascii="Calibri" w:hAnsi="Calibri"/>
                <w:b w:val="0"/>
                <w:color w:val="8A4512"/>
                <w:sz w:val="17"/>
              </w:rPr>
              <w:t>Registrar el costo unitario y el precio de venta sobre el costo real verificado, no sobre el dato del sistema. El margen de cada columna se calcula con el precio de venta contra el costo unitario.</w:t>
            </w:r>
          </w:p>
        </w:tc>
      </w:tr>
    </w:tbl>
    <w:p>
      <w:pPr>
        <w:spacing w:after="40"/>
      </w:pPr>
    </w:p>
    <w:p>
      <w:pPr>
        <w:keepNext/>
        <w:spacing w:before="200" w:after="80"/>
        <w:pBdr>
          <w:bottom w:val="single" w:sz="8" w:color="FB803A"/>
        </w:pBdr>
      </w:pPr>
      <w:r>
        <w:rPr>
          <w:rFonts w:ascii="Georgia" w:hAnsi="Georgia"/>
          <w:b/>
          <w:color w:val="000000"/>
          <w:sz w:val="20"/>
        </w:rPr>
        <w:t>03 · VALIDACIÓN Y RECOMENDACIÓN</w:t>
      </w:r>
    </w:p>
    <w:p>
      <w:pPr>
        <w:spacing w:after="120"/>
      </w:pPr>
      <w:r>
        <w:rPr>
          <w:b/>
          <w:sz w:val="20"/>
        </w:rPr>
        <w:t xml:space="preserve">Resultado de rendimiento aprobado por Norawa: </w:t>
      </w:r>
      <w:r>
        <w:rPr>
          <w:sz w:val="20"/>
        </w:rPr>
        <w:t>______________________________________________________________________________</w:t>
      </w:r>
    </w:p>
    <w:p>
      <w:pPr>
        <w:spacing w:after="120"/>
      </w:pPr>
      <w:r>
        <w:rPr>
          <w:sz w:val="20"/>
        </w:rPr>
        <w:t>_______________________________________________________________________________________________</w:t>
      </w:r>
    </w:p>
    <w:p>
      <w:pPr>
        <w:spacing w:after="120"/>
      </w:pPr>
      <w:r>
        <w:rPr>
          <w:b/>
          <w:sz w:val="20"/>
        </w:rPr>
        <w:t xml:space="preserve">Recomendación de Compras: </w:t>
      </w:r>
      <w:r>
        <w:rPr>
          <w:sz w:val="20"/>
        </w:rPr>
        <w:t>______________________________________________________________________________</w:t>
      </w:r>
    </w:p>
    <w:p>
      <w:pPr>
        <w:spacing w:after="120"/>
      </w:pPr>
      <w:r>
        <w:rPr>
          <w:sz w:val="20"/>
        </w:rPr>
        <w:t>_______________________________________________________________________________________________</w:t>
      </w:r>
    </w:p>
    <w:p>
      <w:pPr>
        <w:keepNext/>
        <w:spacing w:before="200" w:after="80"/>
        <w:pBdr>
          <w:bottom w:val="single" w:sz="8" w:color="FB803A"/>
        </w:pBdr>
      </w:pPr>
      <w:r>
        <w:rPr>
          <w:rFonts w:ascii="Georgia" w:hAnsi="Georgia"/>
          <w:b/>
          <w:color w:val="000000"/>
          <w:sz w:val="20"/>
        </w:rPr>
        <w:t>04 · RESOLUCIÓN</w:t>
      </w:r>
    </w:p>
    <w:tbl>
      <w:tblPr>
        <w:tblW w:type="auto" w:w="0"/>
        <w:tblLook w:firstColumn="1" w:firstRow="1" w:lastColumn="0" w:lastRow="0" w:noHBand="0" w:noVBand="1" w:val="04A0"/>
      </w:tblPr>
      <w:tblGrid>
        <w:gridCol w:w="6900"/>
        <w:gridCol w:w="6900"/>
      </w:tblGrid>
      <w:tr>
        <w:tc>
          <w:tcPr>
            <w:tcW w:type="dxa" w:w="6900"/>
          </w:tcPr>
          <w:p>
            <w:r/>
            <w:r>
              <w:rPr>
                <w:sz w:val="20"/>
              </w:rPr>
              <w:t>☐  Aprobado</w:t>
            </w:r>
          </w:p>
        </w:tc>
        <w:tc>
          <w:tcPr>
            <w:tcW w:type="dxa" w:w="6900"/>
          </w:tcPr>
          <w:p>
            <w:r/>
            <w:r>
              <w:rPr>
                <w:sz w:val="20"/>
              </w:rPr>
              <w:t>☐  Rechazado</w:t>
            </w:r>
          </w:p>
        </w:tc>
      </w:tr>
    </w:tbl>
    <w:tbl>
      <w:tblPr>
        <w:tblW w:type="auto" w:w="0"/>
        <w:tblLook w:firstColumn="1" w:firstRow="1" w:lastColumn="0" w:lastRow="0" w:noHBand="0" w:noVBand="1" w:val="04A0"/>
      </w:tblPr>
      <w:tblGrid>
        <w:gridCol w:w="6900"/>
        <w:gridCol w:w="6900"/>
      </w:tblGrid>
      <w:tr>
        <w:tc>
          <w:tcPr>
            <w:tcW w:type="dxa" w:w="6900"/>
          </w:tcPr>
          <w:p>
            <w:r/>
            <w:r>
              <w:rPr>
                <w:b/>
                <w:sz w:val="20"/>
              </w:rPr>
              <w:t xml:space="preserve">Folio de resolución: </w:t>
            </w:r>
            <w:r>
              <w:rPr>
                <w:sz w:val="20"/>
              </w:rPr>
              <w:t>_______________</w:t>
            </w:r>
          </w:p>
        </w:tc>
        <w:tc>
          <w:tcPr>
            <w:tcW w:type="dxa" w:w="6900"/>
          </w:tcPr>
          <w:p>
            <w:r/>
            <w:r>
              <w:rPr>
                <w:b/>
                <w:sz w:val="20"/>
              </w:rPr>
              <w:t xml:space="preserve">Fecha de resolución: </w:t>
            </w:r>
            <w:r>
              <w:rPr>
                <w:sz w:val="20"/>
              </w:rPr>
              <w:t>_______________</w:t>
            </w:r>
          </w:p>
        </w:tc>
      </w:tr>
    </w:tbl>
    <w:tbl>
      <w:tblPr>
        <w:tblW w:type="auto" w:w="0"/>
        <w:tblLook w:firstColumn="1" w:firstRow="1" w:lastColumn="0" w:lastRow="0" w:noHBand="0" w:noVBand="1" w:val="04A0"/>
        <w:tblBorders>
          <w:left w:val="single" w:sz="16" w:color="FB803A"/>
        </w:tblBorders>
      </w:tblPr>
      <w:tblGrid>
        <w:gridCol w:w="13800"/>
      </w:tblGrid>
      <w:tr>
        <w:tc>
          <w:tcPr>
            <w:tcW w:type="dxa" w:w="13800"/>
            <w:shd w:val="clear" w:fill="FFF3E9"/>
          </w:tcPr>
          <w:p>
            <w:r/>
            <w:r>
              <w:rPr>
                <w:rFonts w:ascii="Calibri" w:hAnsi="Calibri"/>
                <w:b w:val="0"/>
                <w:color w:val="8A4512"/>
                <w:sz w:val="17"/>
              </w:rPr>
              <w:t>Ningún cambio de un insumo consolidado procede solo por costo. Requiere muestra aprobada por Norawa, cliente principal de DISAL (empresa hermana) que aprueba el rendimiento de la muestra antes de autorizar el cambio, y esta comparativa autorizada. Las firmas de autorización aplican según el impacto del cambio: Norawa aprueba o rechaza la muestra según su rendimiento, Finanzas evalúa el efecto en costo y margen, y Dirección resuelve los cambios de mayor alcance.</w:t>
            </w:r>
          </w:p>
        </w:tc>
      </w:tr>
    </w:tbl>
    <w:p>
      <w:pPr>
        <w:spacing w:after="40"/>
      </w:pPr>
    </w:p>
    <w:p>
      <w:pPr>
        <w:keepNext/>
        <w:spacing w:after="320"/>
      </w:pPr>
    </w:p>
    <w:tbl>
      <w:tblPr>
        <w:tblW w:type="auto" w:w="0"/>
        <w:tblLook w:firstColumn="1" w:firstRow="1" w:lastColumn="0" w:lastRow="0" w:noHBand="0" w:noVBand="1" w:val="04A0"/>
      </w:tblPr>
      <w:tblGrid>
        <w:gridCol w:w="3450"/>
        <w:gridCol w:w="3450"/>
        <w:gridCol w:w="3450"/>
        <w:gridCol w:w="3450"/>
      </w:tblGrid>
      <w:tr>
        <w:tc>
          <w:tcPr>
            <w:tcW w:type="dxa" w:w="3450"/>
          </w:tcPr>
          <w:p>
            <w:pPr>
              <w:jc w:val="center"/>
            </w:pPr>
            <w:r/>
            <w:r>
              <w:rPr>
                <w:sz w:val="20"/>
              </w:rPr>
              <w:t>__________________________</w:t>
            </w:r>
          </w:p>
        </w:tc>
        <w:tc>
          <w:tcPr>
            <w:tcW w:type="dxa" w:w="3450"/>
          </w:tcPr>
          <w:p>
            <w:pPr>
              <w:jc w:val="center"/>
            </w:pPr>
            <w:r/>
            <w:r>
              <w:rPr>
                <w:sz w:val="20"/>
              </w:rPr>
              <w:t>__________________________</w:t>
            </w:r>
          </w:p>
        </w:tc>
        <w:tc>
          <w:tcPr>
            <w:tcW w:type="dxa" w:w="3450"/>
          </w:tcPr>
          <w:p>
            <w:pPr>
              <w:jc w:val="center"/>
            </w:pPr>
            <w:r/>
            <w:r>
              <w:rPr>
                <w:sz w:val="20"/>
              </w:rPr>
              <w:t>__________________________</w:t>
            </w:r>
          </w:p>
        </w:tc>
        <w:tc>
          <w:tcPr>
            <w:tcW w:type="dxa" w:w="3450"/>
          </w:tcPr>
          <w:p>
            <w:pPr>
              <w:jc w:val="center"/>
            </w:pPr>
            <w:r/>
            <w:r>
              <w:rPr>
                <w:sz w:val="20"/>
              </w:rPr>
              <w:t>__________________________</w:t>
            </w:r>
          </w:p>
        </w:tc>
      </w:tr>
      <w:tr>
        <w:tc>
          <w:tcPr>
            <w:tcW w:type="dxa" w:w="3450"/>
          </w:tcPr>
          <w:p>
            <w:pPr>
              <w:jc w:val="center"/>
            </w:pPr>
            <w:r/>
            <w:r>
              <w:rPr>
                <w:rFonts w:ascii="Calibri" w:hAnsi="Calibri"/>
                <w:b w:val="0"/>
                <w:color w:val="595959"/>
                <w:sz w:val="17"/>
              </w:rPr>
              <w:t>Solicito (Compras)</w:t>
            </w:r>
          </w:p>
        </w:tc>
        <w:tc>
          <w:tcPr>
            <w:tcW w:type="dxa" w:w="3450"/>
          </w:tcPr>
          <w:p>
            <w:pPr>
              <w:jc w:val="center"/>
            </w:pPr>
            <w:r/>
            <w:r>
              <w:rPr>
                <w:rFonts w:ascii="Calibri" w:hAnsi="Calibri"/>
                <w:b w:val="0"/>
                <w:color w:val="595959"/>
                <w:sz w:val="17"/>
              </w:rPr>
              <w:t>Norawa (rendimiento)</w:t>
            </w:r>
          </w:p>
        </w:tc>
        <w:tc>
          <w:tcPr>
            <w:tcW w:type="dxa" w:w="3450"/>
          </w:tcPr>
          <w:p>
            <w:pPr>
              <w:jc w:val="center"/>
            </w:pPr>
            <w:r/>
            <w:r>
              <w:rPr>
                <w:rFonts w:ascii="Calibri" w:hAnsi="Calibri"/>
                <w:b w:val="0"/>
                <w:color w:val="595959"/>
                <w:sz w:val="17"/>
              </w:rPr>
              <w:t>Finanzas</w:t>
            </w:r>
          </w:p>
        </w:tc>
        <w:tc>
          <w:tcPr>
            <w:tcW w:type="dxa" w:w="3450"/>
          </w:tcPr>
          <w:p>
            <w:pPr>
              <w:jc w:val="center"/>
            </w:pPr>
            <w:r/>
            <w:r>
              <w:rPr>
                <w:rFonts w:ascii="Calibri" w:hAnsi="Calibri"/>
                <w:b w:val="0"/>
                <w:color w:val="595959"/>
                <w:sz w:val="17"/>
              </w:rPr>
              <w:t>Autoriza (Dirección)</w:t>
            </w:r>
          </w:p>
        </w:tc>
      </w:tr>
    </w:tbl>
    <w:sectPr w:rsidR="00FC693F" w:rsidRPr="0006063C" w:rsidSect="00034616">
      <w:footerReference w:type="default" r:id="rId10"/>
      <w:pgSz w:w="15840" w:h="12240" w:orient="landscape"/>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Grupo DISAL · Formato de Compras · FOR-CO-06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